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609" w:beforeLines="8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Toc30684"/>
      <w:bookmarkStart w:id="1" w:name="_Toc18892"/>
      <w:bookmarkStart w:id="2" w:name="_Toc403051095"/>
      <w:bookmarkStart w:id="3" w:name="_Toc8643"/>
      <w:bookmarkStart w:id="4" w:name="_Toc42127111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浙江省生态环境监测中心2022-2023年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视频会议（多媒体）系统运维服务</w:t>
      </w:r>
      <w:bookmarkStart w:id="12" w:name="_GoBack"/>
      <w:bookmarkEnd w:id="12"/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件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2022年5月9日</w:t>
      </w:r>
    </w:p>
    <w:p>
      <w:pPr>
        <w:pStyle w:val="4"/>
        <w:spacing w:before="240" w:before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第一章  询价采购需求</w:t>
      </w:r>
      <w:bookmarkEnd w:id="0"/>
      <w:bookmarkEnd w:id="1"/>
      <w:bookmarkEnd w:id="2"/>
      <w:bookmarkEnd w:id="3"/>
      <w:bookmarkEnd w:id="4"/>
    </w:p>
    <w:p>
      <w:pPr>
        <w:pStyle w:val="5"/>
      </w:pPr>
      <w:bookmarkStart w:id="5" w:name="_Toc421271114"/>
      <w:bookmarkStart w:id="6" w:name="_Toc421271116"/>
      <w:r>
        <w:rPr>
          <w:rFonts w:hint="eastAsia" w:ascii="微软雅黑" w:hAnsi="微软雅黑" w:eastAsia="微软雅黑" w:cs="微软雅黑"/>
        </w:rPr>
        <w:t>一、采购内容</w:t>
      </w:r>
      <w:bookmarkEnd w:id="5"/>
    </w:p>
    <w:tbl>
      <w:tblPr>
        <w:tblStyle w:val="37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1594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3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15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采购数量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3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2022-2023年视频会议（多媒体）系统运维服务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1项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14.9</w:t>
            </w:r>
            <w:r>
              <w:rPr>
                <w:rFonts w:hint="eastAsia" w:ascii="宋体" w:hAnsi="宋体" w:cs="Arial"/>
                <w:sz w:val="24"/>
                <w:szCs w:val="24"/>
              </w:rPr>
              <w:t>万元</w:t>
            </w:r>
          </w:p>
        </w:tc>
      </w:tr>
    </w:tbl>
    <w:p>
      <w:pPr>
        <w:pStyle w:val="5"/>
      </w:pPr>
      <w:r>
        <w:rPr>
          <w:rFonts w:hint="eastAsia" w:ascii="微软雅黑" w:hAnsi="微软雅黑" w:eastAsia="微软雅黑" w:cs="微软雅黑"/>
        </w:rPr>
        <w:t>二、询价采购需求</w:t>
      </w:r>
    </w:p>
    <w:p>
      <w:pPr>
        <w:pStyle w:val="7"/>
        <w:spacing w:before="120"/>
      </w:pPr>
      <w:r>
        <w:rPr>
          <w:rFonts w:hint="eastAsia"/>
        </w:rPr>
        <w:t>1.概况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浙江省生态环境监测中心近年</w:t>
      </w:r>
      <w:r>
        <w:rPr>
          <w:rFonts w:ascii="宋体" w:hAnsi="宋体"/>
          <w:sz w:val="24"/>
          <w:szCs w:val="24"/>
        </w:rPr>
        <w:t>来分别</w:t>
      </w:r>
      <w:r>
        <w:rPr>
          <w:rFonts w:hint="eastAsia" w:ascii="宋体" w:hAnsi="宋体"/>
          <w:sz w:val="24"/>
          <w:szCs w:val="24"/>
        </w:rPr>
        <w:t>对</w:t>
      </w:r>
      <w:r>
        <w:rPr>
          <w:rFonts w:hint="eastAsia" w:ascii="宋体" w:hAnsi="宋体"/>
          <w:sz w:val="24"/>
          <w:szCs w:val="24"/>
          <w:lang w:eastAsia="zh-CN"/>
        </w:rPr>
        <w:t>省生态环境厅</w:t>
      </w:r>
      <w:r>
        <w:rPr>
          <w:rFonts w:hint="eastAsia" w:ascii="宋体" w:hAnsi="宋体"/>
          <w:sz w:val="24"/>
          <w:szCs w:val="24"/>
        </w:rPr>
        <w:t>大屏显示系统、视音频系统、控制系统等完成了相应的升级改造。作为全省环保系统视频会议主会场、生态环境部视频会议分会场，每</w:t>
      </w:r>
      <w:r>
        <w:rPr>
          <w:rFonts w:ascii="宋体" w:hAnsi="宋体"/>
          <w:sz w:val="24"/>
          <w:szCs w:val="24"/>
        </w:rPr>
        <w:t>年通过该</w:t>
      </w:r>
      <w:r>
        <w:rPr>
          <w:rFonts w:hint="eastAsia" w:ascii="宋体" w:hAnsi="宋体"/>
          <w:sz w:val="24"/>
          <w:szCs w:val="24"/>
        </w:rPr>
        <w:t>系统</w:t>
      </w:r>
      <w:r>
        <w:rPr>
          <w:rFonts w:ascii="宋体" w:hAnsi="宋体"/>
          <w:sz w:val="24"/>
          <w:szCs w:val="24"/>
        </w:rPr>
        <w:t>召开的</w:t>
      </w:r>
      <w:r>
        <w:rPr>
          <w:rFonts w:hint="eastAsia" w:ascii="宋体" w:hAnsi="宋体"/>
          <w:sz w:val="24"/>
          <w:szCs w:val="24"/>
        </w:rPr>
        <w:t>各</w:t>
      </w:r>
      <w:r>
        <w:rPr>
          <w:rFonts w:ascii="宋体" w:hAnsi="宋体"/>
          <w:sz w:val="24"/>
          <w:szCs w:val="24"/>
        </w:rPr>
        <w:t>类视频会议约100</w:t>
      </w:r>
      <w:r>
        <w:rPr>
          <w:rFonts w:hint="eastAsia" w:ascii="宋体" w:hAnsi="宋体"/>
          <w:sz w:val="24"/>
          <w:szCs w:val="24"/>
        </w:rPr>
        <w:t>多</w:t>
      </w:r>
      <w:r>
        <w:rPr>
          <w:rFonts w:ascii="宋体" w:hAnsi="宋体"/>
          <w:sz w:val="24"/>
          <w:szCs w:val="24"/>
        </w:rPr>
        <w:t>场</w:t>
      </w:r>
      <w:r>
        <w:rPr>
          <w:rFonts w:hint="eastAsia" w:ascii="宋体" w:hAnsi="宋体"/>
          <w:sz w:val="24"/>
          <w:szCs w:val="24"/>
        </w:rPr>
        <w:t>，各类常规会议近百场。由于部分设备和设施均已过</w:t>
      </w:r>
      <w:r>
        <w:rPr>
          <w:rFonts w:ascii="宋体" w:hAnsi="宋体"/>
          <w:sz w:val="24"/>
          <w:szCs w:val="24"/>
        </w:rPr>
        <w:t>保</w:t>
      </w:r>
      <w:r>
        <w:rPr>
          <w:rFonts w:hint="eastAsia" w:ascii="宋体" w:hAnsi="宋体"/>
          <w:sz w:val="24"/>
          <w:szCs w:val="24"/>
        </w:rPr>
        <w:t>，且部</w:t>
      </w:r>
      <w:r>
        <w:rPr>
          <w:rFonts w:ascii="宋体" w:hAnsi="宋体"/>
          <w:sz w:val="24"/>
          <w:szCs w:val="24"/>
        </w:rPr>
        <w:t>分</w:t>
      </w:r>
      <w:r>
        <w:rPr>
          <w:rFonts w:hint="eastAsia" w:ascii="宋体" w:hAnsi="宋体"/>
          <w:sz w:val="24"/>
          <w:szCs w:val="24"/>
        </w:rPr>
        <w:t>设备</w:t>
      </w:r>
      <w:r>
        <w:rPr>
          <w:rFonts w:ascii="宋体" w:hAnsi="宋体"/>
          <w:sz w:val="24"/>
          <w:szCs w:val="24"/>
        </w:rPr>
        <w:t>存在</w:t>
      </w:r>
      <w:r>
        <w:rPr>
          <w:rFonts w:hint="eastAsia" w:ascii="宋体" w:hAnsi="宋体"/>
          <w:sz w:val="24"/>
          <w:szCs w:val="24"/>
        </w:rPr>
        <w:t>老化</w:t>
      </w:r>
      <w:r>
        <w:rPr>
          <w:rFonts w:ascii="宋体" w:hAnsi="宋体"/>
          <w:sz w:val="24"/>
          <w:szCs w:val="24"/>
        </w:rPr>
        <w:t>风险，</w:t>
      </w:r>
      <w:r>
        <w:rPr>
          <w:rFonts w:hint="eastAsia" w:ascii="宋体" w:hAnsi="宋体"/>
          <w:sz w:val="24"/>
          <w:szCs w:val="24"/>
        </w:rPr>
        <w:t>为确保系统正常运作，已</w:t>
      </w:r>
      <w:r>
        <w:rPr>
          <w:rFonts w:ascii="宋体" w:hAnsi="宋体"/>
          <w:sz w:val="24"/>
          <w:szCs w:val="24"/>
        </w:rPr>
        <w:t>连续多年通过</w:t>
      </w:r>
      <w:r>
        <w:rPr>
          <w:rFonts w:hint="eastAsia" w:ascii="宋体" w:hAnsi="宋体"/>
          <w:sz w:val="24"/>
          <w:szCs w:val="24"/>
        </w:rPr>
        <w:t>自行</w:t>
      </w:r>
      <w:r>
        <w:rPr>
          <w:rFonts w:ascii="宋体" w:hAnsi="宋体"/>
          <w:sz w:val="24"/>
          <w:szCs w:val="24"/>
        </w:rPr>
        <w:t>采购</w:t>
      </w:r>
      <w:r>
        <w:rPr>
          <w:rFonts w:hint="eastAsia" w:ascii="宋体" w:hAnsi="宋体"/>
          <w:sz w:val="24"/>
          <w:szCs w:val="24"/>
        </w:rPr>
        <w:t>方式，委托</w:t>
      </w:r>
      <w:r>
        <w:rPr>
          <w:rFonts w:ascii="宋体" w:hAnsi="宋体"/>
          <w:sz w:val="24"/>
          <w:szCs w:val="24"/>
        </w:rPr>
        <w:t>第三方</w:t>
      </w:r>
      <w:r>
        <w:rPr>
          <w:rFonts w:hint="eastAsia" w:ascii="宋体" w:hAnsi="宋体"/>
          <w:sz w:val="24"/>
          <w:szCs w:val="24"/>
        </w:rPr>
        <w:t>服务</w:t>
      </w:r>
      <w:r>
        <w:rPr>
          <w:rFonts w:ascii="宋体" w:hAnsi="宋体"/>
          <w:sz w:val="24"/>
          <w:szCs w:val="24"/>
        </w:rPr>
        <w:t>机构</w:t>
      </w:r>
      <w:r>
        <w:rPr>
          <w:rFonts w:hint="eastAsia" w:ascii="宋体" w:hAnsi="宋体"/>
          <w:sz w:val="24"/>
          <w:szCs w:val="24"/>
        </w:rPr>
        <w:t>承担视频会议的运维保障及软硬件设备的日常巡检和</w:t>
      </w:r>
      <w:r>
        <w:rPr>
          <w:rFonts w:ascii="宋体" w:hAnsi="宋体"/>
          <w:sz w:val="24"/>
          <w:szCs w:val="24"/>
        </w:rPr>
        <w:t>维</w:t>
      </w:r>
      <w:r>
        <w:rPr>
          <w:rFonts w:hint="eastAsia" w:ascii="宋体" w:hAnsi="宋体"/>
          <w:sz w:val="24"/>
          <w:szCs w:val="24"/>
        </w:rPr>
        <w:t>保工作，20</w:t>
      </w:r>
      <w:r>
        <w:rPr>
          <w:rFonts w:ascii="宋体" w:hAnsi="宋体"/>
          <w:sz w:val="24"/>
          <w:szCs w:val="24"/>
        </w:rPr>
        <w:t>22</w:t>
      </w:r>
      <w:r>
        <w:rPr>
          <w:rFonts w:hint="eastAsia" w:ascii="宋体" w:hAnsi="宋体"/>
          <w:sz w:val="24"/>
          <w:szCs w:val="24"/>
        </w:rPr>
        <w:t>年拟继续通过自行采购方式</w:t>
      </w:r>
      <w:r>
        <w:rPr>
          <w:rFonts w:ascii="宋体" w:hAnsi="宋体"/>
          <w:sz w:val="24"/>
          <w:szCs w:val="24"/>
        </w:rPr>
        <w:t>购</w:t>
      </w:r>
      <w:r>
        <w:rPr>
          <w:rFonts w:hint="eastAsia" w:ascii="宋体" w:hAnsi="宋体"/>
          <w:sz w:val="24"/>
          <w:szCs w:val="24"/>
        </w:rPr>
        <w:t>买一年维护服务。</w:t>
      </w:r>
    </w:p>
    <w:p>
      <w:pPr>
        <w:pStyle w:val="7"/>
        <w:spacing w:before="120"/>
      </w:pPr>
      <w:r>
        <w:rPr>
          <w:rFonts w:hint="eastAsia"/>
        </w:rPr>
        <w:t>2.服务目标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按照浙江省生态环境监测中心</w:t>
      </w:r>
      <w:r>
        <w:rPr>
          <w:rFonts w:ascii="宋体" w:hAnsi="宋体"/>
          <w:sz w:val="24"/>
          <w:szCs w:val="24"/>
        </w:rPr>
        <w:t>相关管理制度，通过规范化运维、标准化管理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提升</w:t>
      </w:r>
      <w:r>
        <w:rPr>
          <w:rFonts w:hint="eastAsia" w:ascii="宋体" w:hAnsi="宋体"/>
          <w:sz w:val="24"/>
          <w:szCs w:val="24"/>
        </w:rPr>
        <w:t>视频</w:t>
      </w:r>
      <w:r>
        <w:rPr>
          <w:rFonts w:ascii="宋体" w:hAnsi="宋体"/>
          <w:sz w:val="24"/>
          <w:szCs w:val="24"/>
        </w:rPr>
        <w:t>会议</w:t>
      </w:r>
      <w:r>
        <w:rPr>
          <w:rFonts w:hint="eastAsia" w:ascii="宋体" w:hAnsi="宋体"/>
          <w:sz w:val="24"/>
          <w:szCs w:val="24"/>
        </w:rPr>
        <w:t>（多媒体）系统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</w:rPr>
        <w:t>保障、</w:t>
      </w:r>
      <w:r>
        <w:rPr>
          <w:rFonts w:ascii="宋体" w:hAnsi="宋体"/>
          <w:sz w:val="24"/>
          <w:szCs w:val="24"/>
        </w:rPr>
        <w:t>运维及管理水平</w:t>
      </w:r>
      <w:r>
        <w:rPr>
          <w:rFonts w:hint="eastAsia" w:ascii="宋体" w:hAnsi="宋体"/>
          <w:sz w:val="24"/>
          <w:szCs w:val="24"/>
        </w:rPr>
        <w:t>。通过购买专业化的技术服务，保障全省生态环境系统视频会议的正常举行，通过对主要核心</w:t>
      </w:r>
      <w:r>
        <w:rPr>
          <w:rFonts w:ascii="宋体" w:hAnsi="宋体"/>
          <w:sz w:val="24"/>
          <w:szCs w:val="24"/>
        </w:rPr>
        <w:t>设</w:t>
      </w:r>
      <w:r>
        <w:rPr>
          <w:rFonts w:hint="eastAsia" w:ascii="宋体" w:hAnsi="宋体"/>
          <w:sz w:val="24"/>
          <w:szCs w:val="24"/>
        </w:rPr>
        <w:t>备（C</w:t>
      </w:r>
      <w:r>
        <w:rPr>
          <w:rFonts w:ascii="宋体" w:hAnsi="宋体"/>
          <w:sz w:val="24"/>
          <w:szCs w:val="24"/>
        </w:rPr>
        <w:t>OB LED</w:t>
      </w:r>
      <w:r>
        <w:rPr>
          <w:rFonts w:hint="eastAsia" w:ascii="宋体" w:hAnsi="宋体"/>
          <w:sz w:val="24"/>
          <w:szCs w:val="24"/>
        </w:rPr>
        <w:t>屏和高清矩阵）购买原厂服务的方式，从而及时升级和更新系统软件，大大提升现有系统的安全运行能力。</w:t>
      </w:r>
    </w:p>
    <w:p>
      <w:pPr>
        <w:pStyle w:val="7"/>
        <w:spacing w:before="120"/>
      </w:pPr>
      <w:r>
        <w:rPr>
          <w:rFonts w:hint="eastAsia"/>
        </w:rPr>
        <w:t>3.服务内容及要求</w:t>
      </w:r>
    </w:p>
    <w:p>
      <w:pPr>
        <w:pStyle w:val="8"/>
      </w:pPr>
      <w:r>
        <w:rPr>
          <w:rFonts w:hint="eastAsia"/>
        </w:rPr>
        <w:t>3.1主要维护内容</w:t>
      </w:r>
    </w:p>
    <w:p>
      <w:pPr>
        <w:spacing w:line="40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具体设备清单如下：</w:t>
      </w:r>
    </w:p>
    <w:tbl>
      <w:tblPr>
        <w:tblStyle w:val="37"/>
        <w:tblW w:w="84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67"/>
        <w:gridCol w:w="1134"/>
        <w:gridCol w:w="4253"/>
        <w:gridCol w:w="708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设备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型号配置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环保大厦九楼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音响扩音系统设备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主功放  CROWN XLS 602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辅助功放  CROWN XLS 602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C-MARKA910 12路时序控制电源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数字会议系统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会议主机/REALTRONIX CU2000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数字音频处理器 DBX 220i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客席话筒面板/REALTRONIX DSE-2020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代表机接口器/REALTRONIX DSE-2100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澳灵会议麦克风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集中控制系统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 CRESTRON快思聪（包括控制主机、无线触摸屏、继电器组等组件）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视频会议系统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视频会议终端（G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roup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550）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视频会议终端（HDX8000）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会议室、暗房、监控室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浙江省生态环境厅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新大楼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三楼多功能厅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视频会议系统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MCU多点控制单元（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宝利通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RMX2000）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录播服务器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VRS2000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视联网终端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视频会议终端（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宝利通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roup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550）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COB大屏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威创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1.5 COB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LED全彩屏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一楼大厅室内3米×2米LED全彩显示屏（包括控制电脑）等设备一年维保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生态环境厅主席台、主控室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索尼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会议摄像机，2台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科视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LP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投影机，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显示器、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2台三星电视机、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高清矩阵、1套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拼接处理器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8个音箱，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套数字调音台，1套数字会议系统、8套无线手持话筒，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台数字功放，2台电源时序器等若干设备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Header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智能控制系统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智能控制服务器、1套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锐取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电视墙服务器，1套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小鸟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移动控制终端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会议保障服务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省生态环境厅视频会议巡检（部、省、市、县系统联调）和各类会议现场保障（不少于150场）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</w:p>
        </w:tc>
      </w:tr>
    </w:tbl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★</w:t>
      </w:r>
      <w:r>
        <w:rPr>
          <w:rFonts w:hint="eastAsia" w:ascii="宋体" w:hAnsi="宋体"/>
          <w:b/>
          <w:bCs/>
          <w:sz w:val="24"/>
          <w:szCs w:val="24"/>
        </w:rPr>
        <w:t>注：主要核心</w:t>
      </w:r>
      <w:r>
        <w:rPr>
          <w:rFonts w:ascii="宋体" w:hAnsi="宋体"/>
          <w:b/>
          <w:bCs/>
          <w:sz w:val="24"/>
          <w:szCs w:val="24"/>
        </w:rPr>
        <w:t>设</w:t>
      </w:r>
      <w:r>
        <w:rPr>
          <w:rFonts w:hint="eastAsia" w:ascii="宋体" w:hAnsi="宋体"/>
          <w:b/>
          <w:bCs/>
          <w:sz w:val="24"/>
          <w:szCs w:val="24"/>
        </w:rPr>
        <w:t>备（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威创</w:t>
      </w:r>
      <w:r>
        <w:rPr>
          <w:rFonts w:hint="eastAsia" w:ascii="宋体" w:hAnsi="宋体"/>
          <w:b/>
          <w:bCs/>
          <w:sz w:val="24"/>
          <w:szCs w:val="24"/>
        </w:rPr>
        <w:t>C</w:t>
      </w:r>
      <w:r>
        <w:rPr>
          <w:rFonts w:ascii="宋体" w:hAnsi="宋体"/>
          <w:b/>
          <w:bCs/>
          <w:sz w:val="24"/>
          <w:szCs w:val="24"/>
        </w:rPr>
        <w:t>OB LED</w:t>
      </w:r>
      <w:r>
        <w:rPr>
          <w:rFonts w:hint="eastAsia" w:ascii="宋体" w:hAnsi="宋体"/>
          <w:b/>
          <w:bCs/>
          <w:sz w:val="24"/>
          <w:szCs w:val="24"/>
        </w:rPr>
        <w:t>大屏和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小鸟</w:t>
      </w:r>
      <w:r>
        <w:rPr>
          <w:rFonts w:hint="eastAsia" w:ascii="宋体" w:hAnsi="宋体"/>
          <w:b/>
          <w:bCs/>
          <w:sz w:val="24"/>
          <w:szCs w:val="24"/>
        </w:rPr>
        <w:t>高清矩阵）必须购买原厂服务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并承担维修费用</w:t>
      </w:r>
      <w:r>
        <w:rPr>
          <w:rFonts w:hint="eastAsia" w:ascii="宋体" w:hAnsi="宋体"/>
          <w:b/>
          <w:bCs/>
          <w:sz w:val="24"/>
          <w:szCs w:val="24"/>
        </w:rPr>
        <w:t>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询价报价中须承诺</w:t>
      </w:r>
      <w:r>
        <w:rPr>
          <w:rFonts w:hint="eastAsia" w:ascii="宋体" w:hAnsi="宋体"/>
          <w:b/>
          <w:bCs/>
          <w:sz w:val="24"/>
          <w:szCs w:val="24"/>
        </w:rPr>
        <w:t>在中标后3个工作日提供相应的原厂授权服务函，无法提供将被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视</w:t>
      </w:r>
      <w:r>
        <w:rPr>
          <w:rFonts w:hint="eastAsia" w:ascii="宋体" w:hAnsi="宋体"/>
          <w:b/>
          <w:bCs/>
          <w:sz w:val="24"/>
          <w:szCs w:val="24"/>
        </w:rPr>
        <w:t>为无效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报价</w:t>
      </w:r>
      <w:r>
        <w:rPr>
          <w:rFonts w:hint="eastAsia" w:ascii="宋体" w:hAnsi="宋体"/>
          <w:b/>
          <w:bCs/>
          <w:sz w:val="24"/>
          <w:szCs w:val="24"/>
        </w:rPr>
        <w:t>。</w:t>
      </w:r>
    </w:p>
    <w:p>
      <w:pPr>
        <w:pStyle w:val="8"/>
      </w:pPr>
      <w:r>
        <w:rPr>
          <w:rFonts w:hint="eastAsia"/>
        </w:rPr>
        <w:t>3.2具体维护要求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）会议现场保障服务。全年不少于150场各类会议的服务保障，</w:t>
      </w:r>
      <w:r>
        <w:rPr>
          <w:rFonts w:hint="eastAsia" w:ascii="宋体" w:hAnsi="宋体"/>
          <w:sz w:val="24"/>
          <w:szCs w:val="24"/>
        </w:rPr>
        <w:t>服务期内根据用户方要求，提供视频会议现场技术保障服务，</w:t>
      </w:r>
      <w:r>
        <w:rPr>
          <w:rFonts w:hint="eastAsia" w:ascii="宋体" w:hAnsi="宋体"/>
          <w:sz w:val="24"/>
          <w:szCs w:val="24"/>
          <w:lang w:eastAsia="zh-CN"/>
        </w:rPr>
        <w:t>并</w:t>
      </w:r>
      <w:r>
        <w:rPr>
          <w:rFonts w:hint="eastAsia" w:ascii="宋体" w:hAnsi="宋体"/>
          <w:sz w:val="24"/>
          <w:szCs w:val="24"/>
        </w:rPr>
        <w:t>提供一名专职工程师（须具备相应的技术资质）常驻</w:t>
      </w:r>
      <w:r>
        <w:rPr>
          <w:rFonts w:ascii="宋体" w:hAnsi="宋体"/>
          <w:sz w:val="24"/>
          <w:szCs w:val="24"/>
        </w:rPr>
        <w:t>用户现场</w:t>
      </w:r>
      <w:r>
        <w:rPr>
          <w:rFonts w:hint="eastAsia" w:ascii="宋体" w:hAnsi="宋体"/>
          <w:sz w:val="24"/>
          <w:szCs w:val="24"/>
        </w:rPr>
        <w:t>（须驻场在用户单位，办公席位由用户提供，并由用户负责日常考勤和管理），另外须配备</w:t>
      </w:r>
      <w:r>
        <w:rPr>
          <w:rFonts w:hint="eastAsia" w:ascii="宋体" w:hAnsi="宋体"/>
          <w:sz w:val="24"/>
          <w:szCs w:val="24"/>
          <w:lang w:eastAsia="zh-CN"/>
        </w:rPr>
        <w:t>一</w:t>
      </w:r>
      <w:r>
        <w:rPr>
          <w:rFonts w:hint="eastAsia" w:ascii="宋体" w:hAnsi="宋体"/>
          <w:sz w:val="24"/>
          <w:szCs w:val="24"/>
        </w:rPr>
        <w:t>名机动运维工程师，用于A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角备份，以确保完成日常的视频</w:t>
      </w:r>
      <w:r>
        <w:rPr>
          <w:rFonts w:ascii="宋体" w:hAnsi="宋体"/>
          <w:sz w:val="24"/>
          <w:szCs w:val="24"/>
        </w:rPr>
        <w:t>会议</w:t>
      </w:r>
      <w:r>
        <w:rPr>
          <w:rFonts w:hint="eastAsia" w:ascii="宋体" w:hAnsi="宋体"/>
          <w:sz w:val="24"/>
          <w:szCs w:val="24"/>
        </w:rPr>
        <w:t>和普通会议的技术调试。</w:t>
      </w:r>
      <w:r>
        <w:rPr>
          <w:rFonts w:ascii="宋体" w:hAnsi="宋体"/>
          <w:sz w:val="24"/>
          <w:szCs w:val="24"/>
        </w:rPr>
        <w:t>现场会议</w:t>
      </w:r>
      <w:r>
        <w:rPr>
          <w:rFonts w:hint="eastAsia" w:ascii="宋体" w:hAnsi="宋体"/>
          <w:sz w:val="24"/>
          <w:szCs w:val="24"/>
        </w:rPr>
        <w:t>过程</w:t>
      </w:r>
      <w:r>
        <w:rPr>
          <w:rFonts w:ascii="宋体" w:hAnsi="宋体"/>
          <w:sz w:val="24"/>
          <w:szCs w:val="24"/>
        </w:rPr>
        <w:t>中</w:t>
      </w:r>
      <w:r>
        <w:rPr>
          <w:rFonts w:hint="eastAsia" w:ascii="宋体" w:hAnsi="宋体"/>
          <w:sz w:val="24"/>
          <w:szCs w:val="24"/>
        </w:rPr>
        <w:t>常驻</w:t>
      </w:r>
      <w:r>
        <w:rPr>
          <w:rFonts w:ascii="宋体" w:hAnsi="宋体"/>
          <w:sz w:val="24"/>
          <w:szCs w:val="24"/>
        </w:rPr>
        <w:t>用户现场提供服务，</w:t>
      </w:r>
      <w:r>
        <w:rPr>
          <w:rFonts w:hint="eastAsia" w:ascii="宋体" w:hAnsi="宋体"/>
          <w:sz w:val="24"/>
          <w:szCs w:val="24"/>
        </w:rPr>
        <w:t>服务期</w:t>
      </w:r>
      <w:r>
        <w:rPr>
          <w:rFonts w:ascii="宋体" w:hAnsi="宋体"/>
          <w:sz w:val="24"/>
          <w:szCs w:val="24"/>
        </w:rPr>
        <w:t>结束后</w:t>
      </w:r>
      <w:r>
        <w:rPr>
          <w:rFonts w:hint="eastAsia" w:ascii="宋体" w:hAnsi="宋体"/>
          <w:sz w:val="24"/>
          <w:szCs w:val="24"/>
        </w:rPr>
        <w:t>还</w:t>
      </w:r>
      <w:r>
        <w:rPr>
          <w:rFonts w:ascii="宋体" w:hAnsi="宋体"/>
          <w:sz w:val="24"/>
          <w:szCs w:val="24"/>
        </w:rPr>
        <w:t>应提供</w:t>
      </w:r>
      <w:r>
        <w:rPr>
          <w:rFonts w:hint="eastAsia" w:ascii="宋体" w:hAnsi="宋体"/>
          <w:sz w:val="24"/>
          <w:szCs w:val="24"/>
        </w:rPr>
        <w:t>全</w:t>
      </w:r>
      <w:r>
        <w:rPr>
          <w:rFonts w:ascii="宋体" w:hAnsi="宋体"/>
          <w:sz w:val="24"/>
          <w:szCs w:val="24"/>
        </w:rPr>
        <w:t>年现场会议服务保障确</w:t>
      </w:r>
      <w:r>
        <w:rPr>
          <w:rFonts w:hint="eastAsia" w:ascii="宋体" w:hAnsi="宋体"/>
          <w:sz w:val="24"/>
          <w:szCs w:val="24"/>
        </w:rPr>
        <w:t>认</w:t>
      </w:r>
      <w:r>
        <w:rPr>
          <w:rFonts w:ascii="宋体" w:hAnsi="宋体"/>
          <w:sz w:val="24"/>
          <w:szCs w:val="24"/>
        </w:rPr>
        <w:t>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</w:rPr>
        <w:t>）巡检及保养等服务。</w:t>
      </w:r>
      <w:r>
        <w:rPr>
          <w:rFonts w:hint="eastAsia" w:ascii="宋体" w:hAnsi="宋体"/>
          <w:sz w:val="24"/>
          <w:szCs w:val="24"/>
        </w:rPr>
        <w:t>服务</w:t>
      </w:r>
      <w:r>
        <w:rPr>
          <w:rFonts w:ascii="宋体" w:hAnsi="宋体"/>
          <w:sz w:val="24"/>
          <w:szCs w:val="24"/>
        </w:rPr>
        <w:t>方</w:t>
      </w:r>
      <w:r>
        <w:rPr>
          <w:rFonts w:hint="eastAsia" w:ascii="宋体" w:hAnsi="宋体"/>
          <w:sz w:val="24"/>
          <w:szCs w:val="24"/>
        </w:rPr>
        <w:t>需对上述各个系统各类设备提供巡检、保养、维护、检测等服务，其中巡检服务每月不少于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次并提供书面巡检服务报告（</w:t>
      </w:r>
      <w:r>
        <w:rPr>
          <w:rFonts w:ascii="宋体" w:hAnsi="宋体"/>
          <w:sz w:val="24"/>
          <w:szCs w:val="24"/>
        </w:rPr>
        <w:t>其中</w:t>
      </w:r>
      <w:r>
        <w:rPr>
          <w:rFonts w:hint="eastAsia" w:ascii="宋体" w:hAnsi="宋体"/>
          <w:sz w:val="24"/>
          <w:szCs w:val="24"/>
        </w:rPr>
        <w:t>重要</w:t>
      </w:r>
      <w:r>
        <w:rPr>
          <w:rFonts w:ascii="宋体" w:hAnsi="宋体"/>
          <w:sz w:val="24"/>
          <w:szCs w:val="24"/>
        </w:rPr>
        <w:t>会议召开前还应提供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次现场巡检）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LED显示屏</w:t>
      </w:r>
      <w:r>
        <w:rPr>
          <w:rFonts w:hint="eastAsia" w:ascii="宋体" w:hAnsi="宋体"/>
          <w:sz w:val="24"/>
          <w:szCs w:val="24"/>
        </w:rPr>
        <w:t>要求设备原厂商提供每季度不少于1次的巡检服务，每年不少于一次的屏幕坏点维修服务。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3</w:t>
      </w:r>
      <w:r>
        <w:rPr>
          <w:rFonts w:hint="eastAsia" w:ascii="宋体" w:hAnsi="宋体"/>
          <w:b/>
          <w:sz w:val="24"/>
          <w:szCs w:val="24"/>
        </w:rPr>
        <w:t>）突发事件应急响应。</w:t>
      </w:r>
      <w:r>
        <w:rPr>
          <w:rFonts w:hint="eastAsia" w:ascii="宋体" w:hAnsi="宋体"/>
          <w:sz w:val="24"/>
          <w:szCs w:val="24"/>
        </w:rPr>
        <w:t>服务</w:t>
      </w:r>
      <w:r>
        <w:rPr>
          <w:rFonts w:ascii="宋体" w:hAnsi="宋体"/>
          <w:sz w:val="24"/>
          <w:szCs w:val="24"/>
        </w:rPr>
        <w:t>方需</w:t>
      </w:r>
      <w:r>
        <w:rPr>
          <w:rFonts w:hint="eastAsia" w:ascii="宋体" w:hAnsi="宋体"/>
          <w:sz w:val="24"/>
          <w:szCs w:val="24"/>
        </w:rPr>
        <w:t>对视频会议相关各类突发事件提供应急处理、故障排除等服务（其中紧急事件需提供1小时应急响应，4小时解决问题服务）。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4</w:t>
      </w:r>
      <w:r>
        <w:rPr>
          <w:rFonts w:hint="eastAsia" w:ascii="宋体" w:hAnsi="宋体"/>
          <w:b/>
          <w:sz w:val="24"/>
          <w:szCs w:val="24"/>
        </w:rPr>
        <w:t>）配件维修及更换服务。</w:t>
      </w:r>
      <w:r>
        <w:rPr>
          <w:rFonts w:hint="eastAsia" w:ascii="宋体" w:hAnsi="宋体"/>
          <w:sz w:val="24"/>
          <w:szCs w:val="24"/>
        </w:rPr>
        <w:t>服务方</w:t>
      </w:r>
      <w:r>
        <w:rPr>
          <w:rFonts w:ascii="宋体" w:hAnsi="宋体"/>
          <w:sz w:val="24"/>
          <w:szCs w:val="24"/>
        </w:rPr>
        <w:t>需</w:t>
      </w:r>
      <w:r>
        <w:rPr>
          <w:rFonts w:hint="eastAsia" w:ascii="宋体" w:hAnsi="宋体"/>
          <w:sz w:val="24"/>
          <w:szCs w:val="24"/>
        </w:rPr>
        <w:t>对日常巡检及突发事件中发现的问题提供设备维修及配件更换服务，无法修复的设备应购买不低于原有性能的设备进行更换。对于重大突发事件4小时内无法解决问题的，需在8小时内提供备品备件。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5</w:t>
      </w:r>
      <w:r>
        <w:rPr>
          <w:rFonts w:hint="eastAsia" w:ascii="宋体" w:hAnsi="宋体"/>
          <w:b/>
          <w:sz w:val="24"/>
          <w:szCs w:val="24"/>
        </w:rPr>
        <w:t>）软件升级服务。</w:t>
      </w:r>
      <w:r>
        <w:rPr>
          <w:rFonts w:hint="eastAsia" w:ascii="宋体" w:hAnsi="宋体"/>
          <w:sz w:val="24"/>
          <w:szCs w:val="24"/>
        </w:rPr>
        <w:t>服务方</w:t>
      </w:r>
      <w:r>
        <w:rPr>
          <w:rFonts w:ascii="宋体" w:hAnsi="宋体"/>
          <w:sz w:val="24"/>
          <w:szCs w:val="24"/>
        </w:rPr>
        <w:t>需</w:t>
      </w:r>
      <w:r>
        <w:rPr>
          <w:rFonts w:hint="eastAsia" w:ascii="宋体" w:hAnsi="宋体"/>
          <w:sz w:val="24"/>
          <w:szCs w:val="24"/>
        </w:rPr>
        <w:t>对C</w:t>
      </w:r>
      <w:r>
        <w:rPr>
          <w:rFonts w:ascii="宋体" w:hAnsi="宋体"/>
          <w:sz w:val="24"/>
          <w:szCs w:val="24"/>
        </w:rPr>
        <w:t xml:space="preserve">OB </w:t>
      </w:r>
      <w:r>
        <w:rPr>
          <w:rFonts w:hint="eastAsia" w:ascii="宋体" w:hAnsi="宋体"/>
          <w:sz w:val="24"/>
          <w:szCs w:val="24"/>
        </w:rPr>
        <w:t>LED显示屏、高清混合矩阵、智能控制系统（</w:t>
      </w:r>
      <w:r>
        <w:rPr>
          <w:rFonts w:hint="eastAsia" w:ascii="宋体" w:hAnsi="宋体" w:cs="宋体"/>
          <w:color w:val="000000"/>
          <w:kern w:val="0"/>
          <w:szCs w:val="21"/>
        </w:rPr>
        <w:t>智能控制服务器及移动控制端</w:t>
      </w:r>
      <w:r>
        <w:rPr>
          <w:rFonts w:hint="eastAsia" w:ascii="宋体" w:hAnsi="宋体"/>
          <w:sz w:val="24"/>
          <w:szCs w:val="24"/>
        </w:rPr>
        <w:t>、电视墙服务器）等设备的软件进行定期升级，及时修复BUG，满足用户提出的新功能需求，并提供原厂升级报告。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6</w:t>
      </w:r>
      <w:r>
        <w:rPr>
          <w:rFonts w:hint="eastAsia" w:ascii="宋体" w:hAnsi="宋体"/>
          <w:b/>
          <w:sz w:val="24"/>
          <w:szCs w:val="24"/>
        </w:rPr>
        <w:t>）线路整理服务。</w:t>
      </w:r>
      <w:r>
        <w:rPr>
          <w:rFonts w:hint="eastAsia" w:ascii="宋体" w:hAnsi="宋体"/>
          <w:sz w:val="24"/>
          <w:szCs w:val="24"/>
        </w:rPr>
        <w:t>服务方</w:t>
      </w:r>
      <w:r>
        <w:rPr>
          <w:rFonts w:ascii="宋体" w:hAnsi="宋体"/>
          <w:sz w:val="24"/>
          <w:szCs w:val="24"/>
        </w:rPr>
        <w:t>需</w:t>
      </w:r>
      <w:r>
        <w:rPr>
          <w:rFonts w:hint="eastAsia" w:ascii="宋体" w:hAnsi="宋体"/>
          <w:sz w:val="24"/>
          <w:szCs w:val="24"/>
        </w:rPr>
        <w:t>根据用户方要求做好视频会议（多媒体）各类线路（包括信号线、网线、电源线等）的整理和</w:t>
      </w:r>
      <w:r>
        <w:rPr>
          <w:rFonts w:ascii="宋体" w:hAnsi="宋体"/>
          <w:sz w:val="24"/>
          <w:szCs w:val="24"/>
        </w:rPr>
        <w:t>标识</w:t>
      </w:r>
      <w:r>
        <w:rPr>
          <w:rFonts w:hint="eastAsia" w:ascii="宋体" w:hAnsi="宋体"/>
          <w:sz w:val="24"/>
          <w:szCs w:val="24"/>
        </w:rPr>
        <w:t>，所需要的信号线缆由</w:t>
      </w:r>
      <w:r>
        <w:rPr>
          <w:rFonts w:hint="eastAsia" w:ascii="宋体" w:hAnsi="宋体"/>
          <w:sz w:val="24"/>
          <w:szCs w:val="24"/>
          <w:lang w:eastAsia="zh-CN"/>
        </w:rPr>
        <w:t>服务方</w:t>
      </w:r>
      <w:r>
        <w:rPr>
          <w:rFonts w:hint="eastAsia" w:ascii="宋体" w:hAnsi="宋体"/>
          <w:sz w:val="24"/>
          <w:szCs w:val="24"/>
        </w:rPr>
        <w:t>提供，品牌不得低于现有线材，全年不少于4次。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7</w:t>
      </w:r>
      <w:r>
        <w:rPr>
          <w:rFonts w:hint="eastAsia" w:ascii="宋体" w:hAnsi="宋体"/>
          <w:b/>
          <w:sz w:val="24"/>
          <w:szCs w:val="24"/>
        </w:rPr>
        <w:t>）视频会议系统完善建议服务。</w:t>
      </w:r>
      <w:r>
        <w:rPr>
          <w:rFonts w:hint="eastAsia" w:ascii="宋体" w:hAnsi="宋体"/>
          <w:sz w:val="24"/>
          <w:szCs w:val="24"/>
        </w:rPr>
        <w:t>服务方需根据视频会议室实际运行</w:t>
      </w:r>
      <w:r>
        <w:rPr>
          <w:rFonts w:ascii="宋体" w:hAnsi="宋体"/>
          <w:sz w:val="24"/>
          <w:szCs w:val="24"/>
        </w:rPr>
        <w:t>情况</w:t>
      </w:r>
      <w:r>
        <w:rPr>
          <w:rFonts w:hint="eastAsia" w:ascii="宋体" w:hAnsi="宋体"/>
          <w:sz w:val="24"/>
          <w:szCs w:val="24"/>
        </w:rPr>
        <w:t>提供后</w:t>
      </w:r>
      <w:r>
        <w:rPr>
          <w:rFonts w:ascii="宋体" w:hAnsi="宋体"/>
          <w:sz w:val="24"/>
          <w:szCs w:val="24"/>
        </w:rPr>
        <w:t>期</w:t>
      </w:r>
      <w:r>
        <w:rPr>
          <w:rFonts w:hint="eastAsia" w:ascii="宋体" w:hAnsi="宋体"/>
          <w:sz w:val="24"/>
          <w:szCs w:val="24"/>
        </w:rPr>
        <w:t>会议室</w:t>
      </w:r>
      <w:r>
        <w:rPr>
          <w:rFonts w:ascii="宋体" w:hAnsi="宋体"/>
          <w:sz w:val="24"/>
          <w:szCs w:val="24"/>
        </w:rPr>
        <w:t>更新</w:t>
      </w:r>
      <w:r>
        <w:rPr>
          <w:rFonts w:hint="eastAsia" w:ascii="宋体" w:hAnsi="宋体"/>
          <w:sz w:val="24"/>
          <w:szCs w:val="24"/>
        </w:rPr>
        <w:t>及完善建议方案，全年</w:t>
      </w:r>
      <w:r>
        <w:rPr>
          <w:rFonts w:ascii="宋体" w:hAnsi="宋体"/>
          <w:sz w:val="24"/>
          <w:szCs w:val="24"/>
        </w:rPr>
        <w:t>不</w:t>
      </w:r>
      <w:r>
        <w:rPr>
          <w:rFonts w:hint="eastAsia" w:ascii="宋体" w:hAnsi="宋体"/>
          <w:sz w:val="24"/>
          <w:szCs w:val="24"/>
        </w:rPr>
        <w:t>少于1次。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8</w:t>
      </w:r>
      <w:r>
        <w:rPr>
          <w:rFonts w:hint="eastAsia" w:ascii="宋体" w:hAnsi="宋体"/>
          <w:b/>
          <w:sz w:val="24"/>
          <w:szCs w:val="24"/>
        </w:rPr>
        <w:t>）视频会议联调服务。</w:t>
      </w:r>
      <w:r>
        <w:rPr>
          <w:rFonts w:hint="eastAsia" w:ascii="宋体" w:hAnsi="宋体"/>
          <w:sz w:val="24"/>
          <w:szCs w:val="24"/>
        </w:rPr>
        <w:t>服务方需根据视频会议实际运行</w:t>
      </w:r>
      <w:r>
        <w:rPr>
          <w:rFonts w:ascii="宋体" w:hAnsi="宋体"/>
          <w:sz w:val="24"/>
          <w:szCs w:val="24"/>
        </w:rPr>
        <w:t>情况</w:t>
      </w:r>
      <w:r>
        <w:rPr>
          <w:rFonts w:hint="eastAsia" w:ascii="宋体" w:hAnsi="宋体"/>
          <w:sz w:val="24"/>
          <w:szCs w:val="24"/>
        </w:rPr>
        <w:t>，负责提供对全省各地市视频会议系统的技术支持服务，配合完成相应的会议联调工作。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9</w:t>
      </w:r>
      <w:r>
        <w:rPr>
          <w:rFonts w:hint="eastAsia" w:ascii="宋体" w:hAnsi="宋体"/>
          <w:b/>
          <w:sz w:val="24"/>
          <w:szCs w:val="24"/>
        </w:rPr>
        <w:t>）培训要求。</w:t>
      </w:r>
      <w:r>
        <w:rPr>
          <w:rFonts w:hint="eastAsia" w:ascii="宋体" w:hAnsi="宋体"/>
          <w:sz w:val="24"/>
          <w:szCs w:val="24"/>
        </w:rPr>
        <w:t>服务方</w:t>
      </w:r>
      <w:r>
        <w:rPr>
          <w:rFonts w:ascii="宋体" w:hAnsi="宋体"/>
          <w:sz w:val="24"/>
          <w:szCs w:val="24"/>
        </w:rPr>
        <w:t>应</w:t>
      </w:r>
      <w:r>
        <w:rPr>
          <w:rFonts w:hint="eastAsia" w:ascii="宋体" w:hAnsi="宋体"/>
          <w:sz w:val="24"/>
          <w:szCs w:val="24"/>
        </w:rPr>
        <w:t>提供设备操作培训、故障分析处理等专业知识培训，每年不少于2次，每次不少于1天，并提供相关PPT教材、培训操作手册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要求提供矩阵、智能控制原厂商每年一次的系统巡检服务，并出具原厂报告。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10</w:t>
      </w:r>
      <w:r>
        <w:rPr>
          <w:rFonts w:hint="eastAsia" w:ascii="宋体" w:hAnsi="宋体"/>
          <w:b/>
          <w:sz w:val="24"/>
          <w:szCs w:val="24"/>
        </w:rPr>
        <w:t>）其它服务。</w:t>
      </w:r>
      <w:r>
        <w:rPr>
          <w:rFonts w:hint="eastAsia" w:ascii="宋体" w:hAnsi="宋体"/>
          <w:sz w:val="24"/>
          <w:szCs w:val="24"/>
        </w:rPr>
        <w:t>服务方需根据用户要求，负责提供更改系统结构线路，满足相应的功能要求，中间需要的线材或者配件由服务方负责提供。</w:t>
      </w:r>
    </w:p>
    <w:p>
      <w:pPr>
        <w:pStyle w:val="7"/>
        <w:spacing w:before="120"/>
      </w:pPr>
      <w:r>
        <w:t>4</w:t>
      </w:r>
      <w:r>
        <w:rPr>
          <w:rFonts w:hint="eastAsia"/>
        </w:rPr>
        <w:t>.服务</w:t>
      </w:r>
      <w:r>
        <w:t>保障</w:t>
      </w:r>
      <w:r>
        <w:rPr>
          <w:rFonts w:hint="eastAsia"/>
        </w:rPr>
        <w:t>要求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eastAsia="zh-CN"/>
        </w:rPr>
        <w:t>服务</w:t>
      </w:r>
      <w:r>
        <w:rPr>
          <w:rFonts w:hint="eastAsia" w:ascii="宋体" w:hAnsi="宋体"/>
          <w:sz w:val="24"/>
          <w:szCs w:val="24"/>
        </w:rPr>
        <w:t>方</w:t>
      </w:r>
      <w:r>
        <w:rPr>
          <w:rFonts w:ascii="宋体" w:hAnsi="宋体"/>
          <w:sz w:val="24"/>
          <w:szCs w:val="24"/>
        </w:rPr>
        <w:t>应</w:t>
      </w:r>
      <w:r>
        <w:rPr>
          <w:rFonts w:hint="eastAsia" w:ascii="宋体" w:hAnsi="宋体"/>
          <w:sz w:val="24"/>
          <w:szCs w:val="24"/>
        </w:rPr>
        <w:t>提供1名专职工程师常驻用户单位进行服务保障（由用户方负责管理）。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eastAsia="zh-CN"/>
        </w:rPr>
        <w:t>服务</w:t>
      </w:r>
      <w:r>
        <w:rPr>
          <w:rFonts w:ascii="宋体" w:hAnsi="宋体"/>
          <w:sz w:val="24"/>
          <w:szCs w:val="24"/>
        </w:rPr>
        <w:t>方</w:t>
      </w:r>
      <w:r>
        <w:rPr>
          <w:rFonts w:hint="eastAsia" w:ascii="宋体" w:hAnsi="宋体"/>
          <w:sz w:val="24"/>
          <w:szCs w:val="24"/>
        </w:rPr>
        <w:t>应快速响应</w:t>
      </w:r>
      <w:r>
        <w:rPr>
          <w:rFonts w:ascii="宋体" w:hAnsi="宋体"/>
          <w:sz w:val="24"/>
          <w:szCs w:val="24"/>
        </w:rPr>
        <w:t>并及时</w:t>
      </w:r>
      <w:r>
        <w:rPr>
          <w:rFonts w:hint="eastAsia" w:ascii="宋体" w:hAnsi="宋体"/>
          <w:sz w:val="24"/>
          <w:szCs w:val="24"/>
        </w:rPr>
        <w:t>解决视频会议（多媒体）发</w:t>
      </w:r>
      <w:r>
        <w:rPr>
          <w:rFonts w:ascii="宋体" w:hAnsi="宋体"/>
          <w:sz w:val="24"/>
          <w:szCs w:val="24"/>
        </w:rPr>
        <w:t>生的各类</w:t>
      </w:r>
      <w:r>
        <w:rPr>
          <w:rFonts w:hint="eastAsia" w:ascii="宋体" w:hAnsi="宋体"/>
          <w:sz w:val="24"/>
          <w:szCs w:val="24"/>
        </w:rPr>
        <w:t>问题。发现</w:t>
      </w:r>
      <w:r>
        <w:rPr>
          <w:rFonts w:ascii="宋体" w:hAnsi="宋体"/>
          <w:sz w:val="24"/>
          <w:szCs w:val="24"/>
        </w:rPr>
        <w:t>问题</w:t>
      </w:r>
      <w:r>
        <w:rPr>
          <w:rFonts w:hint="eastAsia" w:ascii="宋体" w:hAnsi="宋体"/>
          <w:sz w:val="24"/>
          <w:szCs w:val="24"/>
        </w:rPr>
        <w:t>需首先</w:t>
      </w:r>
      <w:r>
        <w:rPr>
          <w:rFonts w:ascii="宋体" w:hAnsi="宋体"/>
          <w:sz w:val="24"/>
          <w:szCs w:val="24"/>
        </w:rPr>
        <w:t>提供电话支持，并</w:t>
      </w:r>
      <w:r>
        <w:rPr>
          <w:rFonts w:hint="eastAsia" w:ascii="宋体" w:hAnsi="宋体"/>
          <w:sz w:val="24"/>
          <w:szCs w:val="24"/>
        </w:rPr>
        <w:t>提供现场响应，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小时内解决问题，对于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小时内无法解决的，服务</w:t>
      </w:r>
      <w:r>
        <w:rPr>
          <w:rFonts w:ascii="宋体" w:hAnsi="宋体"/>
          <w:sz w:val="24"/>
          <w:szCs w:val="24"/>
        </w:rPr>
        <w:t>方</w:t>
      </w:r>
      <w:r>
        <w:rPr>
          <w:rFonts w:hint="eastAsia" w:ascii="宋体" w:hAnsi="宋体"/>
          <w:sz w:val="24"/>
          <w:szCs w:val="24"/>
        </w:rPr>
        <w:t>需在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小时内提供不</w:t>
      </w:r>
      <w:r>
        <w:rPr>
          <w:rFonts w:ascii="宋体" w:hAnsi="宋体"/>
          <w:sz w:val="24"/>
          <w:szCs w:val="24"/>
        </w:rPr>
        <w:t>低于同档次的</w:t>
      </w:r>
      <w:r>
        <w:rPr>
          <w:rFonts w:hint="eastAsia" w:ascii="宋体" w:hAnsi="宋体"/>
          <w:sz w:val="24"/>
          <w:szCs w:val="24"/>
        </w:rPr>
        <w:t>备机或备品备件。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）服务</w:t>
      </w:r>
      <w:r>
        <w:rPr>
          <w:rFonts w:ascii="宋体" w:hAnsi="宋体"/>
          <w:sz w:val="24"/>
          <w:szCs w:val="24"/>
        </w:rPr>
        <w:t>方应</w: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ascii="宋体" w:hAnsi="宋体"/>
          <w:sz w:val="24"/>
          <w:szCs w:val="24"/>
        </w:rPr>
        <w:t>本项目</w:t>
      </w:r>
      <w:r>
        <w:rPr>
          <w:rFonts w:hint="eastAsia" w:ascii="宋体" w:hAnsi="宋体"/>
          <w:sz w:val="24"/>
          <w:szCs w:val="24"/>
        </w:rPr>
        <w:t>建立</w:t>
      </w:r>
      <w:r>
        <w:rPr>
          <w:rFonts w:ascii="宋体" w:hAnsi="宋体"/>
          <w:sz w:val="24"/>
          <w:szCs w:val="24"/>
        </w:rPr>
        <w:t>不少于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人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</w:rPr>
        <w:t>技术</w:t>
      </w:r>
      <w:r>
        <w:rPr>
          <w:rFonts w:ascii="宋体" w:hAnsi="宋体"/>
          <w:sz w:val="24"/>
          <w:szCs w:val="24"/>
        </w:rPr>
        <w:t>服务团队，</w:t>
      </w:r>
      <w:r>
        <w:rPr>
          <w:rFonts w:hint="eastAsia" w:ascii="宋体" w:hAnsi="宋体"/>
          <w:sz w:val="24"/>
          <w:szCs w:val="24"/>
        </w:rPr>
        <w:t>团队项目经理要求具有项目经理资质的工程师担任，同时具有三年以上视频会议维护保障经验（须提供相应的证明材料），</w:t>
      </w:r>
      <w:r>
        <w:rPr>
          <w:rFonts w:ascii="宋体" w:hAnsi="宋体"/>
          <w:sz w:val="24"/>
          <w:szCs w:val="24"/>
        </w:rPr>
        <w:t>项目经理</w:t>
      </w:r>
      <w:r>
        <w:rPr>
          <w:rFonts w:hint="eastAsia" w:ascii="宋体" w:hAnsi="宋体"/>
          <w:sz w:val="24"/>
          <w:szCs w:val="24"/>
        </w:rPr>
        <w:t>还应</w:t>
      </w:r>
      <w:r>
        <w:rPr>
          <w:rFonts w:ascii="宋体" w:hAnsi="宋体"/>
          <w:sz w:val="24"/>
          <w:szCs w:val="24"/>
        </w:rPr>
        <w:t>做好</w:t>
      </w:r>
      <w:r>
        <w:rPr>
          <w:rFonts w:hint="eastAsia" w:ascii="宋体" w:hAnsi="宋体"/>
          <w:sz w:val="24"/>
          <w:szCs w:val="24"/>
        </w:rPr>
        <w:t>与各个厂家的技术和商务</w:t>
      </w:r>
      <w:r>
        <w:rPr>
          <w:rFonts w:ascii="宋体" w:hAnsi="宋体"/>
          <w:sz w:val="24"/>
          <w:szCs w:val="24"/>
        </w:rPr>
        <w:t>协调工作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5"/>
      </w:pPr>
      <w:r>
        <w:rPr>
          <w:rFonts w:hint="eastAsia" w:ascii="微软雅黑" w:hAnsi="微软雅黑" w:eastAsia="微软雅黑" w:cs="微软雅黑"/>
        </w:rPr>
        <w:t>三、资信及商务要求</w:t>
      </w:r>
      <w:bookmarkEnd w:id="6"/>
    </w:p>
    <w:tbl>
      <w:tblPr>
        <w:tblStyle w:val="3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90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2022-2023年视频会议（多媒体）系统运维服务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报价要求</w:t>
            </w:r>
          </w:p>
        </w:tc>
        <w:tc>
          <w:tcPr>
            <w:tcW w:w="6690" w:type="dxa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报价货币单位为人民币；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报价已包含运维服务（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会议保障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所需</w:t>
            </w:r>
            <w:r>
              <w:rPr>
                <w:rFonts w:hint="eastAsia" w:ascii="宋体" w:hAnsi="宋体"/>
                <w:sz w:val="24"/>
                <w:szCs w:val="24"/>
              </w:rPr>
              <w:t>过程中产生的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人力、交通、</w:t>
            </w:r>
            <w:r>
              <w:rPr>
                <w:rFonts w:hint="eastAsia" w:ascii="宋体" w:hAnsi="宋体"/>
                <w:sz w:val="24"/>
                <w:szCs w:val="24"/>
              </w:rPr>
              <w:t>资料费及</w:t>
            </w:r>
            <w:r>
              <w:rPr>
                <w:rFonts w:ascii="宋体" w:hAnsi="宋体"/>
                <w:sz w:val="24"/>
                <w:szCs w:val="24"/>
              </w:rPr>
              <w:t>合同包含的所有风险责任等各项费用及不可预见费</w:t>
            </w:r>
            <w:r>
              <w:rPr>
                <w:rFonts w:hint="eastAsia" w:ascii="宋体" w:hAnsi="宋体"/>
                <w:sz w:val="24"/>
                <w:szCs w:val="24"/>
              </w:rPr>
              <w:t>等所需的全部费用。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项目最高限价为14.9万元，报价超过最高限价14.9万或者报价低于成本价的，均视为无效报价。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服务时间及服务要求</w:t>
            </w:r>
          </w:p>
        </w:tc>
        <w:tc>
          <w:tcPr>
            <w:tcW w:w="6690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本次运维服务时间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eastAsia="zh-CN"/>
              </w:rPr>
              <w:t>中标后签订合同之日起一年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tabs>
                <w:tab w:val="left" w:pos="36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运维服务内容：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浙江省生态环境厅视频会议（多媒体）系统运维服务（包括会议保障、维修、应急及软件维护）。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具体要求见询价需求。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报价截止时间</w:t>
            </w:r>
          </w:p>
        </w:tc>
        <w:tc>
          <w:tcPr>
            <w:tcW w:w="669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 xml:space="preserve"> 2022年5月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日下午16点前。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成交原则</w:t>
            </w:r>
          </w:p>
        </w:tc>
        <w:tc>
          <w:tcPr>
            <w:tcW w:w="669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综合评分排名第一的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 w:cs="宋体"/>
                <w:sz w:val="24"/>
                <w:szCs w:val="24"/>
              </w:rPr>
              <w:t>为第一中标候选人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密封要求</w:t>
            </w:r>
          </w:p>
        </w:tc>
        <w:tc>
          <w:tcPr>
            <w:tcW w:w="6690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/>
                <w:sz w:val="24"/>
                <w:szCs w:val="24"/>
              </w:rPr>
              <w:t>材料应采用胶装并密封包装。没有密封包装的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/>
                <w:sz w:val="24"/>
                <w:szCs w:val="24"/>
              </w:rPr>
              <w:t>文件，将被当场拒绝，封口粘贴密封字样的封条并盖上公章。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3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价</w:t>
            </w:r>
            <w:r>
              <w:rPr>
                <w:rFonts w:hint="eastAsia" w:ascii="宋体" w:hAnsi="宋体"/>
                <w:sz w:val="24"/>
                <w:szCs w:val="24"/>
              </w:rPr>
              <w:t>文件内容</w:t>
            </w:r>
          </w:p>
        </w:tc>
        <w:tc>
          <w:tcPr>
            <w:tcW w:w="6690" w:type="dxa"/>
          </w:tcPr>
          <w:p>
            <w:pPr>
              <w:pStyle w:val="30"/>
              <w:spacing w:before="50" w:line="360" w:lineRule="auto"/>
              <w:ind w:left="-2" w:leftChars="-1" w:firstLine="12" w:firstLineChars="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1、报价函（附件一）</w:t>
            </w:r>
          </w:p>
          <w:p>
            <w:pPr>
              <w:pStyle w:val="30"/>
              <w:spacing w:before="50" w:line="360" w:lineRule="auto"/>
              <w:ind w:left="-2" w:leftChars="-1" w:firstLine="12" w:firstLineChars="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2、现场运维技术人员配备表、项目经理简历表（附件二）</w:t>
            </w:r>
          </w:p>
          <w:p>
            <w:pPr>
              <w:pStyle w:val="30"/>
              <w:spacing w:before="50" w:line="360" w:lineRule="auto"/>
              <w:ind w:left="-2" w:leftChars="-1" w:firstLine="12" w:firstLineChars="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3、法人营业执照副本</w:t>
            </w:r>
          </w:p>
          <w:p>
            <w:pPr>
              <w:pStyle w:val="30"/>
              <w:spacing w:before="50" w:line="360" w:lineRule="auto"/>
              <w:ind w:left="-2" w:leftChars="-1" w:firstLine="12" w:firstLineChars="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4、资质证书副本</w:t>
            </w:r>
          </w:p>
          <w:p>
            <w:pPr>
              <w:pStyle w:val="30"/>
              <w:spacing w:before="50" w:line="360" w:lineRule="auto"/>
              <w:ind w:left="-2" w:leftChars="-1" w:firstLine="12" w:firstLineChars="5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5、运维技术人员工程师注册执业证书</w:t>
            </w:r>
          </w:p>
          <w:p>
            <w:pPr>
              <w:spacing w:line="360" w:lineRule="auto"/>
              <w:ind w:left="-2" w:leftChars="-1" w:firstLine="12" w:firstLineChars="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6、报价人认为需要提供的其他资料</w:t>
            </w:r>
          </w:p>
        </w:tc>
      </w:tr>
    </w:tbl>
    <w:p>
      <w:pPr>
        <w:pStyle w:val="4"/>
        <w:spacing w:before="240" w:before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7" w:name="_Toc13041"/>
      <w:bookmarkStart w:id="8" w:name="_Toc2263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第二章  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办法及评分标准</w:t>
      </w:r>
      <w:bookmarkEnd w:id="7"/>
      <w:bookmarkEnd w:id="8"/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根据《中华人民共和国政府采购法》、《政府采购货物和服务招标投标管理办法》、《中华人民共和国政府采购法实施条例》等有关法律法规，结合本项目的实际需求，制定本办法。</w:t>
      </w:r>
    </w:p>
    <w:p>
      <w:pPr>
        <w:pStyle w:val="5"/>
      </w:pPr>
      <w:bookmarkStart w:id="9" w:name="_Toc421271110"/>
      <w:r>
        <w:rPr>
          <w:rFonts w:hint="eastAsia" w:ascii="微软雅黑" w:hAnsi="微软雅黑" w:eastAsia="微软雅黑" w:cs="微软雅黑"/>
        </w:rPr>
        <w:t>一、总则</w:t>
      </w:r>
      <w:bookmarkEnd w:id="9"/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bookmarkStart w:id="10" w:name="_Toc421271111"/>
      <w:r>
        <w:rPr>
          <w:rFonts w:hint="eastAsia" w:ascii="宋体" w:hAnsi="宋体"/>
          <w:sz w:val="24"/>
          <w:szCs w:val="24"/>
        </w:rPr>
        <w:t>本项目评</w:t>
      </w:r>
      <w:r>
        <w:rPr>
          <w:rFonts w:hint="eastAsia" w:ascii="宋体" w:hAnsi="宋体"/>
          <w:sz w:val="24"/>
          <w:szCs w:val="24"/>
          <w:lang w:eastAsia="zh-CN"/>
        </w:rPr>
        <w:t>价</w:t>
      </w:r>
      <w:r>
        <w:rPr>
          <w:rFonts w:hint="eastAsia" w:ascii="宋体" w:hAnsi="宋体"/>
          <w:sz w:val="24"/>
          <w:szCs w:val="24"/>
        </w:rPr>
        <w:t>采用综合评分法，总分为100分。合格</w:t>
      </w:r>
      <w:r>
        <w:rPr>
          <w:rFonts w:hint="eastAsia" w:ascii="宋体" w:hAnsi="宋体"/>
          <w:sz w:val="24"/>
          <w:szCs w:val="24"/>
          <w:lang w:eastAsia="zh-CN"/>
        </w:rPr>
        <w:t>服务方</w:t>
      </w:r>
      <w:r>
        <w:rPr>
          <w:rFonts w:hint="eastAsia" w:ascii="宋体" w:hAnsi="宋体"/>
          <w:sz w:val="24"/>
          <w:szCs w:val="24"/>
        </w:rPr>
        <w:t>的评</w:t>
      </w:r>
      <w:r>
        <w:rPr>
          <w:rFonts w:hint="eastAsia" w:ascii="宋体" w:hAnsi="宋体"/>
          <w:sz w:val="24"/>
          <w:szCs w:val="24"/>
          <w:lang w:eastAsia="zh-CN"/>
        </w:rPr>
        <w:t>价</w:t>
      </w:r>
      <w:r>
        <w:rPr>
          <w:rFonts w:hint="eastAsia" w:ascii="宋体" w:hAnsi="宋体"/>
          <w:sz w:val="24"/>
          <w:szCs w:val="24"/>
        </w:rPr>
        <w:t>得分为各项目汇总得分，中标候选资格按评</w:t>
      </w:r>
      <w:r>
        <w:rPr>
          <w:rFonts w:hint="eastAsia" w:ascii="宋体" w:hAnsi="宋体"/>
          <w:sz w:val="24"/>
          <w:szCs w:val="24"/>
          <w:lang w:eastAsia="zh-CN"/>
        </w:rPr>
        <w:t>价</w:t>
      </w:r>
      <w:r>
        <w:rPr>
          <w:rFonts w:hint="eastAsia" w:ascii="宋体" w:hAnsi="宋体"/>
          <w:sz w:val="24"/>
          <w:szCs w:val="24"/>
        </w:rPr>
        <w:t>得分由高到低顺序排列，得分相同的，按报价由低到高顺序排列；得分且报价相同的，按技术得分由高到低顺序排列。评分过程中采用四舍五入法，并保留小数2位。</w:t>
      </w:r>
    </w:p>
    <w:p>
      <w:pPr>
        <w:pStyle w:val="5"/>
        <w:numPr>
          <w:ilvl w:val="0"/>
          <w:numId w:val="3"/>
        </w:numPr>
        <w:tabs>
          <w:tab w:val="left" w:pos="0"/>
          <w:tab w:val="left" w:pos="720"/>
        </w:tabs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分值的计算</w:t>
      </w:r>
      <w:bookmarkEnd w:id="10"/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资信商务分、技术分按照</w:t>
      </w:r>
      <w:r>
        <w:rPr>
          <w:rFonts w:hint="eastAsia" w:ascii="宋体" w:hAnsi="宋体"/>
          <w:sz w:val="24"/>
          <w:szCs w:val="24"/>
          <w:lang w:eastAsia="zh-CN"/>
        </w:rPr>
        <w:t>评审小组</w:t>
      </w:r>
      <w:r>
        <w:rPr>
          <w:rFonts w:hint="eastAsia" w:ascii="宋体" w:hAnsi="宋体"/>
          <w:sz w:val="24"/>
          <w:szCs w:val="24"/>
        </w:rPr>
        <w:t>的独立评分结果汇总后的算术平均分计算，计算公式为：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资信商务分=</w:t>
      </w:r>
      <w:r>
        <w:rPr>
          <w:rFonts w:hint="eastAsia" w:ascii="宋体" w:hAnsi="宋体"/>
          <w:sz w:val="24"/>
          <w:szCs w:val="24"/>
          <w:lang w:eastAsia="zh-CN"/>
        </w:rPr>
        <w:t>评审小组</w:t>
      </w:r>
      <w:r>
        <w:rPr>
          <w:rFonts w:hint="eastAsia" w:ascii="宋体" w:hAnsi="宋体"/>
          <w:sz w:val="24"/>
          <w:szCs w:val="24"/>
        </w:rPr>
        <w:t>成员资信商务分评分合计数/</w:t>
      </w:r>
      <w:r>
        <w:rPr>
          <w:rFonts w:hint="eastAsia" w:ascii="宋体" w:hAnsi="宋体"/>
          <w:sz w:val="24"/>
          <w:szCs w:val="24"/>
          <w:lang w:eastAsia="zh-CN"/>
        </w:rPr>
        <w:t>评审小组</w:t>
      </w:r>
      <w:r>
        <w:rPr>
          <w:rFonts w:hint="eastAsia" w:ascii="宋体" w:hAnsi="宋体"/>
          <w:sz w:val="24"/>
          <w:szCs w:val="24"/>
        </w:rPr>
        <w:t>组成人员数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技术分=</w:t>
      </w:r>
      <w:r>
        <w:rPr>
          <w:rFonts w:hint="eastAsia" w:ascii="宋体" w:hAnsi="宋体"/>
          <w:sz w:val="24"/>
          <w:szCs w:val="24"/>
          <w:lang w:eastAsia="zh-CN"/>
        </w:rPr>
        <w:t>评审小组</w:t>
      </w:r>
      <w:r>
        <w:rPr>
          <w:rFonts w:hint="eastAsia" w:ascii="宋体" w:hAnsi="宋体"/>
          <w:sz w:val="24"/>
          <w:szCs w:val="24"/>
        </w:rPr>
        <w:t>所有成员技术分评分合计数/</w:t>
      </w:r>
      <w:r>
        <w:rPr>
          <w:rFonts w:hint="eastAsia" w:ascii="宋体" w:hAnsi="宋体"/>
          <w:sz w:val="24"/>
          <w:szCs w:val="24"/>
          <w:lang w:eastAsia="zh-CN"/>
        </w:rPr>
        <w:t>评审小组</w:t>
      </w:r>
      <w:r>
        <w:rPr>
          <w:rFonts w:hint="eastAsia" w:ascii="宋体" w:hAnsi="宋体"/>
          <w:sz w:val="24"/>
          <w:szCs w:val="24"/>
        </w:rPr>
        <w:t>组成人员数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</w:t>
      </w:r>
      <w:r>
        <w:rPr>
          <w:rFonts w:hint="eastAsia" w:ascii="宋体" w:hAnsi="宋体"/>
          <w:sz w:val="24"/>
          <w:szCs w:val="24"/>
          <w:lang w:eastAsia="zh-CN"/>
        </w:rPr>
        <w:t>价</w:t>
      </w:r>
      <w:r>
        <w:rPr>
          <w:rFonts w:hint="eastAsia" w:ascii="宋体" w:hAnsi="宋体"/>
          <w:sz w:val="24"/>
          <w:szCs w:val="24"/>
        </w:rPr>
        <w:t>综合得分=资信商务分+技术分+价格分</w:t>
      </w:r>
    </w:p>
    <w:p>
      <w:pPr>
        <w:pStyle w:val="5"/>
        <w:numPr>
          <w:ilvl w:val="0"/>
          <w:numId w:val="3"/>
        </w:numPr>
        <w:tabs>
          <w:tab w:val="left" w:pos="0"/>
          <w:tab w:val="left" w:pos="720"/>
        </w:tabs>
        <w:rPr>
          <w:rFonts w:ascii="Times New Roman" w:hAnsi="Times New Roman" w:eastAsia="仿宋_GB2312"/>
          <w:sz w:val="24"/>
          <w:szCs w:val="24"/>
        </w:rPr>
      </w:pPr>
      <w:bookmarkStart w:id="11" w:name="_Toc421271112"/>
      <w:r>
        <w:rPr>
          <w:rFonts w:hint="eastAsia" w:ascii="Times New Roman" w:hAnsi="Times New Roman" w:eastAsia="仿宋_GB2312"/>
          <w:sz w:val="24"/>
          <w:szCs w:val="24"/>
        </w:rPr>
        <w:t>评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价</w:t>
      </w:r>
      <w:r>
        <w:rPr>
          <w:rFonts w:hint="eastAsia" w:ascii="Times New Roman" w:hAnsi="Times New Roman" w:eastAsia="仿宋_GB2312"/>
          <w:sz w:val="24"/>
          <w:szCs w:val="24"/>
        </w:rPr>
        <w:t>内容及标准</w:t>
      </w:r>
      <w:bookmarkEnd w:id="11"/>
    </w:p>
    <w:tbl>
      <w:tblPr>
        <w:tblStyle w:val="37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956"/>
        <w:gridCol w:w="7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评分项目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要点及说明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0分）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满足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="宋体" w:hAnsi="宋体"/>
                <w:sz w:val="24"/>
                <w:szCs w:val="24"/>
              </w:rPr>
              <w:t>文件要求且报价最低的报价为评标基准价，其价格分为满分。其他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的价格分统一按照下列公式计算：报价得分=（基准价/报价）×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0。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服务方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不得以低于成本的报价竞标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，如无法提供实质性的成本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依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评审小组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应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作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无效投标处理。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资信及商务（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具有ISO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90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1质量管理体系认证证书，提供证书复印件加盖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公章的得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分，否则不得分；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具有ISO</w:t>
            </w:r>
            <w:r>
              <w:rPr>
                <w:rFonts w:ascii="宋体" w:hAnsi="宋体"/>
                <w:sz w:val="24"/>
                <w:szCs w:val="24"/>
              </w:rPr>
              <w:t xml:space="preserve"> 20000</w:t>
            </w:r>
            <w:r>
              <w:rPr>
                <w:rFonts w:hint="eastAsia" w:ascii="宋体" w:hAnsi="宋体"/>
                <w:sz w:val="24"/>
                <w:szCs w:val="24"/>
              </w:rPr>
              <w:t>信息技术服务管理体系认证证书提供证书复印件加盖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公章的得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分，否则不得分；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具有</w:t>
            </w:r>
            <w:r>
              <w:rPr>
                <w:rFonts w:ascii="宋体" w:hAnsi="宋体"/>
                <w:sz w:val="24"/>
                <w:szCs w:val="24"/>
              </w:rPr>
              <w:t>AAA</w:t>
            </w:r>
            <w:r>
              <w:rPr>
                <w:rFonts w:hint="eastAsia" w:ascii="宋体" w:hAnsi="宋体"/>
                <w:sz w:val="24"/>
                <w:szCs w:val="24"/>
              </w:rPr>
              <w:t>信用等级证书，提供证书复印件加盖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公章的得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分，否则不得分；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19年1月1日以来的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视频会议保障及运维类项目（非系统集成类）案例。</w:t>
            </w:r>
            <w:r>
              <w:rPr>
                <w:rFonts w:hint="eastAsia" w:ascii="宋体" w:hAnsi="宋体"/>
                <w:sz w:val="24"/>
                <w:szCs w:val="24"/>
              </w:rPr>
              <w:t>提供成功案例合同复印件，每个合同得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分，最高得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承诺在中标后3个工作日内提供现有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威创</w:t>
            </w:r>
            <w:r>
              <w:rPr>
                <w:rFonts w:hint="eastAsia" w:ascii="宋体" w:hAnsi="宋体"/>
                <w:sz w:val="24"/>
                <w:szCs w:val="24"/>
              </w:rPr>
              <w:t>C</w:t>
            </w:r>
            <w:r>
              <w:rPr>
                <w:rFonts w:ascii="宋体" w:hAnsi="宋体"/>
                <w:sz w:val="24"/>
                <w:szCs w:val="24"/>
              </w:rPr>
              <w:t>OB LED</w:t>
            </w:r>
            <w:r>
              <w:rPr>
                <w:rFonts w:hint="eastAsia" w:ascii="宋体" w:hAnsi="宋体"/>
                <w:sz w:val="24"/>
                <w:szCs w:val="24"/>
              </w:rPr>
              <w:t>大屏和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小鸟</w:t>
            </w:r>
            <w:r>
              <w:rPr>
                <w:rFonts w:hint="eastAsia" w:ascii="宋体" w:hAnsi="宋体"/>
                <w:sz w:val="24"/>
                <w:szCs w:val="24"/>
              </w:rPr>
              <w:t>高清矩阵的原厂授权服务函，否则不得分；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中标后</w:t>
            </w:r>
            <w:r>
              <w:rPr>
                <w:rFonts w:hint="eastAsia" w:ascii="宋体" w:hAnsi="宋体"/>
                <w:sz w:val="24"/>
                <w:szCs w:val="24"/>
              </w:rPr>
              <w:t>3个工作日内无法提供原厂授权服务函的，视为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/>
                <w:sz w:val="24"/>
                <w:szCs w:val="24"/>
              </w:rPr>
              <w:t>无效；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技术方案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整体运维方案合理性且能落实到实处。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要求整体运维方案全面完整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0-10分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对本项目的风险预见、风险应对措施完善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0-10分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有完善的质量控制体系、质量控制点明确、措施有力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0-3分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日常巡检运维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0-2分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安全保障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0-2分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应急响应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0-2分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重要时期保障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0-3分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流程制度落实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0-2分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预案编制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0-2分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  <w:szCs w:val="24"/>
              </w:rPr>
              <w:t>人员保障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0-4分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根据情况酌情打分。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备品备件情况。要求提供与本项目运维相关的备品备件清单（规格型号、数量）等，并且在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询价维护要求</w:t>
            </w:r>
            <w:r>
              <w:rPr>
                <w:rFonts w:hint="eastAsia" w:ascii="宋体" w:hAnsi="宋体"/>
                <w:sz w:val="24"/>
                <w:szCs w:val="24"/>
              </w:rPr>
              <w:t>规定的时间内提供到位并能正常使用。根据情况酌情打分（0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分）.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在规定时间内不能解决故障，采购人有权寻求第三方协助，由此产生费用由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承担的承诺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分，不承诺不得分（0</w:t>
            </w:r>
            <w:r>
              <w:rPr>
                <w:rFonts w:ascii="宋体" w:hAnsi="宋体"/>
                <w:sz w:val="24"/>
                <w:szCs w:val="24"/>
              </w:rPr>
              <w:t>-3</w:t>
            </w:r>
            <w:r>
              <w:rPr>
                <w:rFonts w:hint="eastAsia" w:ascii="宋体" w:hAnsi="宋体"/>
                <w:sz w:val="24"/>
                <w:szCs w:val="24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需要针对服务内容有充分了解，并能提供相应的视音频系统结构图，并能够胜任此次服务工作得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3分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服务方</w:t>
            </w:r>
            <w:r>
              <w:rPr>
                <w:rFonts w:hint="eastAsia" w:ascii="宋体" w:hAnsi="宋体"/>
                <w:sz w:val="24"/>
                <w:szCs w:val="24"/>
              </w:rPr>
              <w:t>针对项目服务的合理化建议（0-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项目负责人具备信息系统集成及服务项目经理证书的得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分，具备信息安全保障人员认证证书（C</w:t>
            </w:r>
            <w:r>
              <w:rPr>
                <w:rFonts w:ascii="宋体" w:hAnsi="宋体"/>
                <w:sz w:val="24"/>
              </w:rPr>
              <w:t>ISAW</w:t>
            </w:r>
            <w:r>
              <w:rPr>
                <w:rFonts w:hint="eastAsia" w:ascii="宋体" w:hAnsi="宋体"/>
                <w:sz w:val="24"/>
              </w:rPr>
              <w:t>）得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分。（需提供相关人员职称证书复印件、近期社保缴纳证明材料，否则不得分）</w:t>
            </w:r>
            <w:r>
              <w:rPr>
                <w:rFonts w:hint="eastAsia" w:ascii="宋体" w:hAnsi="宋体"/>
                <w:sz w:val="24"/>
                <w:szCs w:val="24"/>
              </w:rPr>
              <w:t>（0</w:t>
            </w:r>
            <w:r>
              <w:rPr>
                <w:rFonts w:ascii="宋体" w:hAnsi="宋体"/>
                <w:sz w:val="24"/>
                <w:szCs w:val="24"/>
              </w:rPr>
              <w:t>-10</w:t>
            </w:r>
            <w:r>
              <w:rPr>
                <w:rFonts w:hint="eastAsia" w:ascii="宋体" w:hAnsi="宋体"/>
                <w:sz w:val="24"/>
                <w:szCs w:val="24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拟派项目维护团队具备工信部网络</w:t>
            </w:r>
            <w:r>
              <w:rPr>
                <w:rFonts w:ascii="宋体" w:hAnsi="宋体"/>
                <w:sz w:val="24"/>
              </w:rPr>
              <w:t>工程师</w:t>
            </w:r>
            <w:r>
              <w:rPr>
                <w:rFonts w:hint="eastAsia" w:ascii="宋体" w:hAnsi="宋体"/>
                <w:sz w:val="24"/>
              </w:rPr>
              <w:t>中级或者高级</w:t>
            </w:r>
            <w:r>
              <w:rPr>
                <w:rFonts w:ascii="宋体" w:hAnsi="宋体"/>
                <w:sz w:val="24"/>
              </w:rPr>
              <w:t>认证的，</w:t>
            </w:r>
            <w:r>
              <w:rPr>
                <w:rFonts w:hint="eastAsia" w:ascii="宋体" w:hAnsi="宋体"/>
                <w:sz w:val="24"/>
              </w:rPr>
              <w:t>1人得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分，最高得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具备ITIL服务认证的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1人</w:t>
            </w:r>
            <w:r>
              <w:rPr>
                <w:rFonts w:ascii="宋体" w:hAnsi="宋体"/>
                <w:sz w:val="24"/>
              </w:rPr>
              <w:t>得2</w:t>
            </w:r>
            <w:r>
              <w:rPr>
                <w:rFonts w:hint="eastAsia" w:ascii="宋体" w:hAnsi="宋体"/>
                <w:sz w:val="24"/>
              </w:rPr>
              <w:t>分，最多得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具备</w:t>
            </w:r>
            <w:r>
              <w:rPr>
                <w:rFonts w:ascii="宋体" w:hAnsi="宋体"/>
                <w:sz w:val="24"/>
              </w:rPr>
              <w:t>DANTE</w:t>
            </w:r>
            <w:r>
              <w:rPr>
                <w:rFonts w:hint="eastAsia" w:ascii="宋体" w:hAnsi="宋体"/>
                <w:sz w:val="24"/>
              </w:rPr>
              <w:t>音频调试认证证书的，1人得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分，最多得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分，具备</w:t>
            </w:r>
            <w:r>
              <w:rPr>
                <w:rFonts w:ascii="宋体" w:hAnsi="宋体"/>
                <w:sz w:val="24"/>
              </w:rPr>
              <w:t>Crestron</w:t>
            </w:r>
            <w:r>
              <w:rPr>
                <w:rFonts w:hint="eastAsia" w:ascii="宋体" w:hAnsi="宋体"/>
                <w:sz w:val="24"/>
              </w:rPr>
              <w:t>控制认证证书的，1人得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分，最多得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分。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（以上需提供证书复印件、近期单位社保缴纳证明材料，否则不得分）</w:t>
            </w:r>
            <w:r>
              <w:rPr>
                <w:rFonts w:hint="eastAsia" w:ascii="宋体" w:hAnsi="宋体"/>
                <w:sz w:val="24"/>
                <w:szCs w:val="24"/>
              </w:rPr>
              <w:t>（0</w:t>
            </w:r>
            <w:r>
              <w:rPr>
                <w:rFonts w:ascii="宋体" w:hAnsi="宋体"/>
                <w:sz w:val="24"/>
                <w:szCs w:val="24"/>
              </w:rPr>
              <w:t>-8</w:t>
            </w:r>
            <w:r>
              <w:rPr>
                <w:rFonts w:hint="eastAsia" w:ascii="宋体" w:hAnsi="宋体"/>
                <w:sz w:val="24"/>
                <w:szCs w:val="24"/>
              </w:rPr>
              <w:t>分）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r>
        <w:br w:type="page"/>
      </w:r>
    </w:p>
    <w:p>
      <w:pPr>
        <w:pStyle w:val="30"/>
        <w:spacing w:line="720" w:lineRule="auto"/>
        <w:ind w:left="0" w:leftChars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</w:t>
      </w:r>
    </w:p>
    <w:p>
      <w:pPr>
        <w:pStyle w:val="30"/>
        <w:ind w:left="0" w:leftChars="0" w:firstLine="0" w:firstLineChars="0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bCs w:val="0"/>
          <w:spacing w:val="20"/>
          <w:sz w:val="44"/>
        </w:rPr>
        <w:t>报价函</w:t>
      </w:r>
    </w:p>
    <w:p>
      <w:pPr>
        <w:pStyle w:val="30"/>
        <w:ind w:firstLine="0"/>
        <w:rPr>
          <w:rFonts w:ascii="仿宋" w:hAnsi="仿宋" w:eastAsia="仿宋"/>
          <w:b/>
          <w:sz w:val="18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16"/>
          <w:sz w:val="28"/>
          <w:szCs w:val="28"/>
        </w:rPr>
        <w:t>浙江省</w:t>
      </w:r>
      <w:r>
        <w:rPr>
          <w:rFonts w:hint="eastAsia" w:ascii="仿宋_GB2312" w:hAnsi="仿宋_GB2312" w:eastAsia="仿宋_GB2312" w:cs="仿宋_GB2312"/>
          <w:kern w:val="16"/>
          <w:sz w:val="28"/>
          <w:szCs w:val="28"/>
          <w:lang w:eastAsia="zh-CN"/>
        </w:rPr>
        <w:t>生态</w:t>
      </w:r>
      <w:r>
        <w:rPr>
          <w:rFonts w:hint="eastAsia" w:ascii="仿宋_GB2312" w:hAnsi="仿宋_GB2312" w:eastAsia="仿宋_GB2312" w:cs="仿宋_GB2312"/>
          <w:kern w:val="16"/>
          <w:sz w:val="28"/>
          <w:szCs w:val="28"/>
        </w:rPr>
        <w:t>环境监测中心：</w:t>
      </w:r>
    </w:p>
    <w:p>
      <w:pPr>
        <w:pStyle w:val="3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1、根据已获得的202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年视频会议（多媒体）系统运维服务的询价文件，并经现场考察和研究，我方愿以人民币（大写）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元，（小写）¥ ：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元的总价承包上述运维服务工作，并遵守和接受询价文件中所有的内容和条款。</w:t>
      </w:r>
    </w:p>
    <w:p>
      <w:pPr>
        <w:pStyle w:val="30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2、一旦我方中标，我方保证在运维服务期间提供优质的运维服务，严格运维服务管理，确保运维服务顺利完成。</w:t>
      </w:r>
    </w:p>
    <w:p>
      <w:pPr>
        <w:pStyle w:val="30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3、我方同意所递交的报价文件在规定的报价有效期内有效，在此期间内我方的询价有可能中标，我方将受此约束。</w:t>
      </w:r>
    </w:p>
    <w:p>
      <w:pPr>
        <w:pStyle w:val="30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4、你方的询价文件、中标通知书和本询价文件将构成约束我们双方的合同。</w:t>
      </w:r>
    </w:p>
    <w:p>
      <w:pPr>
        <w:pStyle w:val="30"/>
        <w:adjustRightInd w:val="0"/>
        <w:snapToGrid w:val="0"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 标 人： （盖章）</w:t>
      </w:r>
    </w:p>
    <w:p>
      <w:pPr>
        <w:pStyle w:val="30"/>
        <w:adjustRightInd w:val="0"/>
        <w:snapToGrid w:val="0"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单位地址：</w:t>
      </w:r>
    </w:p>
    <w:p>
      <w:pPr>
        <w:pStyle w:val="30"/>
        <w:adjustRightInd w:val="0"/>
        <w:snapToGrid w:val="0"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法定代表人或授权委托人：（签字或盖章）</w:t>
      </w:r>
    </w:p>
    <w:p>
      <w:pPr>
        <w:pStyle w:val="30"/>
        <w:adjustRightInd w:val="0"/>
        <w:snapToGrid w:val="0"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邮政编码：           电话：            传真：</w:t>
      </w:r>
    </w:p>
    <w:p>
      <w:pPr>
        <w:pStyle w:val="30"/>
        <w:adjustRightInd w:val="0"/>
        <w:snapToGrid w:val="0"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pStyle w:val="30"/>
        <w:adjustRightInd w:val="0"/>
        <w:snapToGrid w:val="0"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</w:p>
    <w:p>
      <w:pPr>
        <w:pStyle w:val="30"/>
        <w:adjustRightInd w:val="0"/>
        <w:snapToGrid w:val="0"/>
        <w:spacing w:line="360" w:lineRule="auto"/>
        <w:ind w:firstLine="4620" w:firstLineChars="16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    年   月   日</w:t>
      </w:r>
    </w:p>
    <w:p>
      <w:pPr>
        <w:widowControl/>
        <w:jc w:val="left"/>
        <w:rPr>
          <w:rFonts w:hint="eastAsia" w:ascii="仿宋" w:hAnsi="仿宋" w:eastAsia="仿宋"/>
          <w:sz w:val="44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附件二</w:t>
      </w:r>
    </w:p>
    <w:p>
      <w:pPr>
        <w:pStyle w:val="30"/>
        <w:spacing w:line="360" w:lineRule="auto"/>
        <w:ind w:firstLine="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运维技术人员配备表</w:t>
      </w:r>
    </w:p>
    <w:tbl>
      <w:tblPr>
        <w:tblStyle w:val="37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830"/>
        <w:gridCol w:w="1320"/>
        <w:gridCol w:w="237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9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岗  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龄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注册工程师专业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9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驻点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运维工程师</w:t>
            </w:r>
          </w:p>
        </w:tc>
        <w:tc>
          <w:tcPr>
            <w:tcW w:w="1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9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运维工程师</w:t>
            </w:r>
          </w:p>
        </w:tc>
        <w:tc>
          <w:tcPr>
            <w:tcW w:w="1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pStyle w:val="30"/>
        <w:ind w:right="0" w:firstLine="482" w:firstLineChars="200"/>
        <w:rPr>
          <w:rFonts w:hint="eastAsia" w:ascii="仿宋" w:hAnsi="仿宋" w:eastAsia="仿宋"/>
          <w:b/>
        </w:rPr>
      </w:pPr>
    </w:p>
    <w:p>
      <w:pPr>
        <w:pStyle w:val="30"/>
        <w:wordWrap w:val="0"/>
        <w:adjustRightInd w:val="0"/>
        <w:snapToGrid w:val="0"/>
        <w:ind w:firstLine="0" w:firstLineChars="0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项目经理简历表</w:t>
      </w:r>
    </w:p>
    <w:tbl>
      <w:tblPr>
        <w:tblStyle w:val="37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885"/>
        <w:gridCol w:w="1272"/>
        <w:gridCol w:w="723"/>
        <w:gridCol w:w="1470"/>
        <w:gridCol w:w="271"/>
        <w:gridCol w:w="140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 名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  别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   质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称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  历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龄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参加工作时间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从事项目经理年限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47" w:type="dxa"/>
            <w:gridSpan w:val="8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已完成视频会议运维项目情况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服务单位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服务规模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运维服务期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运维质量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pStyle w:val="3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  注</w:t>
            </w:r>
          </w:p>
        </w:tc>
        <w:tc>
          <w:tcPr>
            <w:tcW w:w="6612" w:type="dxa"/>
            <w:gridSpan w:val="6"/>
            <w:noWrap w:val="0"/>
            <w:vAlign w:val="center"/>
          </w:tcPr>
          <w:p>
            <w:pPr>
              <w:pStyle w:val="30"/>
              <w:ind w:firstLine="0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pStyle w:val="30"/>
        <w:wordWrap w:val="0"/>
        <w:ind w:firstLine="1773" w:firstLineChars="739"/>
        <w:rPr>
          <w:rFonts w:ascii="仿宋" w:hAnsi="仿宋" w:eastAsia="仿宋"/>
        </w:rPr>
      </w:pPr>
    </w:p>
    <w:p>
      <w:pPr>
        <w:pStyle w:val="30"/>
        <w:ind w:firstLine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报价人：（盖章）              法定代表人或授权委托人：（签字或盖章）</w:t>
      </w:r>
    </w:p>
    <w:p>
      <w:pPr>
        <w:spacing w:line="360" w:lineRule="auto"/>
        <w:ind w:left="3954" w:leftChars="1883" w:firstLine="96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kern w:val="16"/>
          <w:sz w:val="24"/>
        </w:rPr>
        <w:t>日期：     年    月    日</w:t>
      </w:r>
    </w:p>
    <w:p/>
    <w:sectPr>
      <w:type w:val="continuous"/>
      <w:pgSz w:w="11910" w:h="16850"/>
      <w:pgMar w:top="1440" w:right="1800" w:bottom="1440" w:left="180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Songti SC">
    <w:altName w:val="Cambria"/>
    <w:panose1 w:val="02010600040101010101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C690B"/>
    <w:multiLevelType w:val="multilevel"/>
    <w:tmpl w:val="4E0C690B"/>
    <w:lvl w:ilvl="0" w:tentative="0">
      <w:start w:val="1"/>
      <w:numFmt w:val="decimal"/>
      <w:pStyle w:val="17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CB83A60"/>
    <w:multiLevelType w:val="multilevel"/>
    <w:tmpl w:val="5CB83A6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NDdhNTQ4MjdjYWJmOTQ1OGVhZmZiMzU1ODMwNzEifQ=="/>
  </w:docVars>
  <w:rsids>
    <w:rsidRoot w:val="00620E66"/>
    <w:rsid w:val="00023111"/>
    <w:rsid w:val="00034052"/>
    <w:rsid w:val="000C6CDB"/>
    <w:rsid w:val="00104B74"/>
    <w:rsid w:val="001F1D8D"/>
    <w:rsid w:val="002619C6"/>
    <w:rsid w:val="00304308"/>
    <w:rsid w:val="0037022B"/>
    <w:rsid w:val="00385E84"/>
    <w:rsid w:val="003C2FBC"/>
    <w:rsid w:val="003E1C61"/>
    <w:rsid w:val="003E6401"/>
    <w:rsid w:val="00400694"/>
    <w:rsid w:val="0041046A"/>
    <w:rsid w:val="00464710"/>
    <w:rsid w:val="00490A77"/>
    <w:rsid w:val="004A4C20"/>
    <w:rsid w:val="004B3202"/>
    <w:rsid w:val="004F0AE2"/>
    <w:rsid w:val="005069B1"/>
    <w:rsid w:val="00564C31"/>
    <w:rsid w:val="005B728D"/>
    <w:rsid w:val="005C6CEF"/>
    <w:rsid w:val="00620E66"/>
    <w:rsid w:val="006342E3"/>
    <w:rsid w:val="006647BC"/>
    <w:rsid w:val="00672587"/>
    <w:rsid w:val="006A6687"/>
    <w:rsid w:val="006C005F"/>
    <w:rsid w:val="006F0F8C"/>
    <w:rsid w:val="007006BB"/>
    <w:rsid w:val="00713DF1"/>
    <w:rsid w:val="00724E13"/>
    <w:rsid w:val="007C57E9"/>
    <w:rsid w:val="007D3869"/>
    <w:rsid w:val="007D6F93"/>
    <w:rsid w:val="007E3CF8"/>
    <w:rsid w:val="007F7285"/>
    <w:rsid w:val="008079B2"/>
    <w:rsid w:val="00815C56"/>
    <w:rsid w:val="0081667F"/>
    <w:rsid w:val="008203C2"/>
    <w:rsid w:val="00855CD9"/>
    <w:rsid w:val="00863A29"/>
    <w:rsid w:val="00865DFB"/>
    <w:rsid w:val="008F043A"/>
    <w:rsid w:val="009363F0"/>
    <w:rsid w:val="0093686C"/>
    <w:rsid w:val="0096550B"/>
    <w:rsid w:val="00966569"/>
    <w:rsid w:val="009738DF"/>
    <w:rsid w:val="009902F8"/>
    <w:rsid w:val="00996AB6"/>
    <w:rsid w:val="009A7586"/>
    <w:rsid w:val="009A7C02"/>
    <w:rsid w:val="00A15FE3"/>
    <w:rsid w:val="00A53872"/>
    <w:rsid w:val="00A56CDD"/>
    <w:rsid w:val="00A92702"/>
    <w:rsid w:val="00A944BE"/>
    <w:rsid w:val="00AB5F11"/>
    <w:rsid w:val="00AE67EF"/>
    <w:rsid w:val="00B04EBD"/>
    <w:rsid w:val="00B1083D"/>
    <w:rsid w:val="00B16CA3"/>
    <w:rsid w:val="00B21DA4"/>
    <w:rsid w:val="00B24180"/>
    <w:rsid w:val="00B32363"/>
    <w:rsid w:val="00B51A07"/>
    <w:rsid w:val="00B55A7C"/>
    <w:rsid w:val="00B951C5"/>
    <w:rsid w:val="00B9788A"/>
    <w:rsid w:val="00BA17AB"/>
    <w:rsid w:val="00BD0E3F"/>
    <w:rsid w:val="00BE0BC1"/>
    <w:rsid w:val="00C338A2"/>
    <w:rsid w:val="00C4198C"/>
    <w:rsid w:val="00C4510A"/>
    <w:rsid w:val="00C57E4A"/>
    <w:rsid w:val="00C63D88"/>
    <w:rsid w:val="00C66A8D"/>
    <w:rsid w:val="00C80D32"/>
    <w:rsid w:val="00D037EB"/>
    <w:rsid w:val="00D855CE"/>
    <w:rsid w:val="00E11962"/>
    <w:rsid w:val="00E15199"/>
    <w:rsid w:val="00EE05D4"/>
    <w:rsid w:val="00F301FE"/>
    <w:rsid w:val="00F531E1"/>
    <w:rsid w:val="00FA1899"/>
    <w:rsid w:val="00FB4F47"/>
    <w:rsid w:val="00FC1370"/>
    <w:rsid w:val="00FD2862"/>
    <w:rsid w:val="00FF2FC0"/>
    <w:rsid w:val="03D42ABC"/>
    <w:rsid w:val="15827345"/>
    <w:rsid w:val="22927AC9"/>
    <w:rsid w:val="2DAE128B"/>
    <w:rsid w:val="4CB96583"/>
    <w:rsid w:val="4CD5081F"/>
    <w:rsid w:val="4F0B79EE"/>
    <w:rsid w:val="5004160F"/>
    <w:rsid w:val="5449499B"/>
    <w:rsid w:val="5E4662CC"/>
    <w:rsid w:val="6DFF1C9E"/>
    <w:rsid w:val="730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qFormat="1" w:uiPriority="39" w:semiHidden="0" w:name="toc 8"/>
    <w:lsdException w:uiPriority="39" w:name="toc 9"/>
    <w:lsdException w:qFormat="1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iPriority="99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49"/>
    <w:qFormat/>
    <w:uiPriority w:val="0"/>
    <w:pPr>
      <w:keepNext/>
      <w:keepLines/>
      <w:pageBreakBefore/>
      <w:widowControl/>
      <w:spacing w:before="340" w:after="330" w:line="360" w:lineRule="auto"/>
      <w:ind w:left="562" w:hanging="420"/>
      <w:jc w:val="left"/>
      <w:outlineLvl w:val="0"/>
    </w:pPr>
    <w:rPr>
      <w:rFonts w:eastAsiaTheme="minorEastAsia" w:cstheme="minorBidi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52"/>
    <w:qFormat/>
    <w:uiPriority w:val="0"/>
    <w:pPr>
      <w:autoSpaceDE w:val="0"/>
      <w:autoSpaceDN w:val="0"/>
      <w:adjustRightInd w:val="0"/>
      <w:spacing w:before="240" w:after="240" w:line="480" w:lineRule="exact"/>
      <w:jc w:val="left"/>
      <w:outlineLvl w:val="1"/>
    </w:pPr>
    <w:rPr>
      <w:rFonts w:hAnsi="宋体" w:eastAsia="SimSun-ExtB" w:cs="宋体"/>
      <w:kern w:val="0"/>
      <w:sz w:val="28"/>
      <w:szCs w:val="44"/>
      <w:lang w:val="zh-CN" w:bidi="zh-CN"/>
    </w:rPr>
  </w:style>
  <w:style w:type="paragraph" w:styleId="7">
    <w:name w:val="heading 3"/>
    <w:basedOn w:val="1"/>
    <w:next w:val="1"/>
    <w:link w:val="48"/>
    <w:qFormat/>
    <w:uiPriority w:val="9"/>
    <w:pPr>
      <w:keepNext/>
      <w:keepLines/>
      <w:spacing w:before="50" w:beforeLines="50" w:line="360" w:lineRule="auto"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1"/>
    <w:link w:val="53"/>
    <w:qFormat/>
    <w:uiPriority w:val="0"/>
    <w:pPr>
      <w:keepNext/>
      <w:keepLines/>
      <w:widowControl/>
      <w:spacing w:before="120" w:beforeLines="50" w:after="290" w:afterAutospacing="1" w:line="376" w:lineRule="auto"/>
      <w:outlineLvl w:val="3"/>
    </w:pPr>
    <w:rPr>
      <w:rFonts w:ascii="Arial" w:hAnsi="Arial" w:eastAsia="黑体" w:cstheme="minorBidi"/>
      <w:b/>
      <w:bCs/>
      <w:sz w:val="24"/>
      <w:szCs w:val="28"/>
      <w:lang w:val="zh-CN"/>
    </w:rPr>
  </w:style>
  <w:style w:type="paragraph" w:styleId="9">
    <w:name w:val="heading 5"/>
    <w:basedOn w:val="1"/>
    <w:next w:val="1"/>
    <w:link w:val="55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10">
    <w:name w:val="heading 6"/>
    <w:basedOn w:val="1"/>
    <w:next w:val="1"/>
    <w:link w:val="56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link w:val="6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Body Text First Indent 2"/>
    <w:basedOn w:val="2"/>
    <w:link w:val="62"/>
    <w:unhideWhenUsed/>
    <w:qFormat/>
    <w:uiPriority w:val="99"/>
    <w:pPr>
      <w:ind w:firstLine="420" w:firstLineChars="200"/>
    </w:pPr>
  </w:style>
  <w:style w:type="paragraph" w:styleId="6">
    <w:name w:val="Normal Indent"/>
    <w:basedOn w:val="1"/>
    <w:link w:val="112"/>
    <w:unhideWhenUsed/>
    <w:qFormat/>
    <w:uiPriority w:val="0"/>
    <w:pPr>
      <w:ind w:firstLine="420" w:firstLineChars="200"/>
    </w:pPr>
  </w:style>
  <w:style w:type="paragraph" w:styleId="11">
    <w:name w:val="List Number"/>
    <w:basedOn w:val="1"/>
    <w:qFormat/>
    <w:uiPriority w:val="0"/>
    <w:pPr>
      <w:widowControl/>
      <w:tabs>
        <w:tab w:val="left" w:pos="454"/>
        <w:tab w:val="left" w:pos="720"/>
      </w:tabs>
      <w:spacing w:afterLines="50"/>
      <w:ind w:left="454" w:hanging="284"/>
      <w:jc w:val="left"/>
    </w:pPr>
    <w:rPr>
      <w:rFonts w:ascii="Times New Roman" w:hAnsi="Times New Roman"/>
      <w:kern w:val="0"/>
      <w:sz w:val="24"/>
      <w:szCs w:val="20"/>
    </w:rPr>
  </w:style>
  <w:style w:type="paragraph" w:styleId="12">
    <w:name w:val="caption"/>
    <w:basedOn w:val="1"/>
    <w:next w:val="1"/>
    <w:link w:val="113"/>
    <w:qFormat/>
    <w:uiPriority w:val="35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3">
    <w:name w:val="Document Map"/>
    <w:basedOn w:val="1"/>
    <w:link w:val="57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8"/>
    <w:unhideWhenUsed/>
    <w:qFormat/>
    <w:uiPriority w:val="0"/>
    <w:pPr>
      <w:jc w:val="left"/>
    </w:pPr>
  </w:style>
  <w:style w:type="paragraph" w:styleId="15">
    <w:name w:val="Body Text 3"/>
    <w:basedOn w:val="1"/>
    <w:link w:val="59"/>
    <w:qFormat/>
    <w:uiPriority w:val="0"/>
    <w:pPr>
      <w:snapToGrid w:val="0"/>
      <w:spacing w:before="50" w:after="50"/>
    </w:pPr>
  </w:style>
  <w:style w:type="paragraph" w:styleId="16">
    <w:name w:val="Body Text"/>
    <w:basedOn w:val="1"/>
    <w:link w:val="60"/>
    <w:qFormat/>
    <w:uiPriority w:val="0"/>
    <w:pPr>
      <w:spacing w:after="120"/>
    </w:pPr>
    <w:rPr>
      <w:rFonts w:ascii="Times New Roman" w:hAnsi="Times New Roman"/>
      <w:sz w:val="28"/>
      <w:szCs w:val="24"/>
    </w:rPr>
  </w:style>
  <w:style w:type="paragraph" w:styleId="17">
    <w:name w:val="List Number 3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Cs w:val="24"/>
    </w:rPr>
  </w:style>
  <w:style w:type="paragraph" w:styleId="18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/>
      <w:sz w:val="28"/>
      <w:szCs w:val="24"/>
    </w:rPr>
  </w:style>
  <w:style w:type="paragraph" w:styleId="19">
    <w:name w:val="toc 3"/>
    <w:basedOn w:val="1"/>
    <w:next w:val="1"/>
    <w:qFormat/>
    <w:uiPriority w:val="0"/>
    <w:pPr>
      <w:ind w:left="840" w:leftChars="400"/>
    </w:pPr>
  </w:style>
  <w:style w:type="paragraph" w:styleId="20">
    <w:name w:val="Plain Text"/>
    <w:basedOn w:val="1"/>
    <w:link w:val="63"/>
    <w:qFormat/>
    <w:uiPriority w:val="0"/>
    <w:pPr>
      <w:spacing w:beforeLines="50" w:afterLines="50" w:line="400" w:lineRule="exact"/>
    </w:pPr>
    <w:rPr>
      <w:rFonts w:ascii="宋体" w:hAnsi="Courier New"/>
      <w:kern w:val="0"/>
      <w:sz w:val="24"/>
      <w:szCs w:val="24"/>
    </w:rPr>
  </w:style>
  <w:style w:type="paragraph" w:styleId="21">
    <w:name w:val="toc 8"/>
    <w:basedOn w:val="1"/>
    <w:next w:val="1"/>
    <w:unhideWhenUsed/>
    <w:qFormat/>
    <w:uiPriority w:val="39"/>
    <w:pPr>
      <w:widowControl/>
      <w:spacing w:before="50" w:beforeLines="50" w:after="100" w:afterAutospacing="1" w:line="360" w:lineRule="auto"/>
      <w:ind w:left="1470" w:firstLine="200" w:firstLineChars="200"/>
      <w:jc w:val="left"/>
    </w:pPr>
    <w:rPr>
      <w:rFonts w:eastAsia="Songti SC" w:cs="Calibri"/>
      <w:szCs w:val="18"/>
    </w:rPr>
  </w:style>
  <w:style w:type="paragraph" w:styleId="22">
    <w:name w:val="Date"/>
    <w:basedOn w:val="1"/>
    <w:next w:val="1"/>
    <w:link w:val="64"/>
    <w:qFormat/>
    <w:uiPriority w:val="99"/>
    <w:pPr>
      <w:ind w:left="2500" w:leftChars="2500"/>
    </w:pPr>
    <w:rPr>
      <w:rFonts w:ascii="Times New Roman" w:hAnsi="Times New Roman" w:eastAsia="楷体_GB2312"/>
      <w:sz w:val="32"/>
      <w:szCs w:val="20"/>
    </w:rPr>
  </w:style>
  <w:style w:type="paragraph" w:styleId="23">
    <w:name w:val="Body Text Indent 2"/>
    <w:basedOn w:val="1"/>
    <w:link w:val="65"/>
    <w:qFormat/>
    <w:uiPriority w:val="0"/>
    <w:pPr>
      <w:snapToGrid w:val="0"/>
      <w:ind w:firstLine="542" w:firstLineChars="225"/>
    </w:pPr>
    <w:rPr>
      <w:rFonts w:ascii="仿宋_GB2312" w:hAnsi="宋体" w:cs="Arial"/>
      <w:b/>
      <w:bCs/>
      <w:color w:val="000000"/>
      <w:sz w:val="24"/>
      <w:szCs w:val="24"/>
    </w:rPr>
  </w:style>
  <w:style w:type="paragraph" w:styleId="24">
    <w:name w:val="Balloon Text"/>
    <w:basedOn w:val="1"/>
    <w:link w:val="66"/>
    <w:qFormat/>
    <w:uiPriority w:val="0"/>
    <w:rPr>
      <w:sz w:val="18"/>
      <w:szCs w:val="18"/>
    </w:rPr>
  </w:style>
  <w:style w:type="paragraph" w:styleId="25">
    <w:name w:val="footer"/>
    <w:basedOn w:val="1"/>
    <w:link w:val="6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6">
    <w:name w:val="header"/>
    <w:basedOn w:val="1"/>
    <w:link w:val="6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7">
    <w:name w:val="toc 1"/>
    <w:basedOn w:val="1"/>
    <w:next w:val="1"/>
    <w:qFormat/>
    <w:uiPriority w:val="39"/>
    <w:rPr>
      <w:rFonts w:ascii="Times New Roman" w:hAnsi="Times New Roman"/>
      <w:szCs w:val="24"/>
    </w:rPr>
  </w:style>
  <w:style w:type="paragraph" w:styleId="28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  <w:sz w:val="28"/>
      <w:szCs w:val="24"/>
    </w:rPr>
  </w:style>
  <w:style w:type="paragraph" w:styleId="29">
    <w:name w:val="footnote text"/>
    <w:basedOn w:val="1"/>
    <w:link w:val="114"/>
    <w:qFormat/>
    <w:uiPriority w:val="0"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1"/>
    <w:link w:val="70"/>
    <w:qFormat/>
    <w:uiPriority w:val="0"/>
    <w:pPr>
      <w:snapToGrid w:val="0"/>
      <w:ind w:firstLine="480" w:firstLineChars="200"/>
      <w:jc w:val="left"/>
    </w:pPr>
    <w:rPr>
      <w:rFonts w:ascii="仿宋_GB2312" w:hAnsi="宋体" w:eastAsia="仿宋_GB2312"/>
      <w:color w:val="000000"/>
      <w:sz w:val="24"/>
      <w:szCs w:val="24"/>
    </w:rPr>
  </w:style>
  <w:style w:type="paragraph" w:styleId="31">
    <w:name w:val="toc 2"/>
    <w:basedOn w:val="1"/>
    <w:next w:val="1"/>
    <w:qFormat/>
    <w:uiPriority w:val="0"/>
    <w:pPr>
      <w:ind w:left="420" w:leftChars="200"/>
    </w:pPr>
  </w:style>
  <w:style w:type="paragraph" w:styleId="32">
    <w:name w:val="Body Text 2"/>
    <w:basedOn w:val="1"/>
    <w:link w:val="71"/>
    <w:qFormat/>
    <w:uiPriority w:val="0"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3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Title"/>
    <w:basedOn w:val="1"/>
    <w:next w:val="1"/>
    <w:link w:val="7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5">
    <w:name w:val="annotation subject"/>
    <w:basedOn w:val="14"/>
    <w:next w:val="14"/>
    <w:link w:val="73"/>
    <w:qFormat/>
    <w:uiPriority w:val="0"/>
    <w:rPr>
      <w:b/>
      <w:bCs/>
    </w:rPr>
  </w:style>
  <w:style w:type="paragraph" w:styleId="36">
    <w:name w:val="Body Text First Indent"/>
    <w:basedOn w:val="16"/>
    <w:link w:val="145"/>
    <w:semiHidden/>
    <w:unhideWhenUsed/>
    <w:qFormat/>
    <w:uiPriority w:val="99"/>
    <w:pPr>
      <w:ind w:firstLine="420" w:firstLineChars="100"/>
    </w:pPr>
    <w:rPr>
      <w:rFonts w:ascii="Calibri" w:hAnsi="Calibri"/>
      <w:sz w:val="21"/>
      <w:szCs w:val="22"/>
    </w:rPr>
  </w:style>
  <w:style w:type="table" w:styleId="38">
    <w:name w:val="Table Grid"/>
    <w:basedOn w:val="3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>
    <w:name w:val="Strong"/>
    <w:qFormat/>
    <w:uiPriority w:val="0"/>
    <w:rPr>
      <w:b/>
      <w:bCs/>
    </w:rPr>
  </w:style>
  <w:style w:type="character" w:styleId="41">
    <w:name w:val="page number"/>
    <w:qFormat/>
    <w:uiPriority w:val="0"/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Emphasis"/>
    <w:qFormat/>
    <w:uiPriority w:val="20"/>
    <w:rPr>
      <w:color w:val="CC0033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qFormat/>
    <w:uiPriority w:val="0"/>
    <w:rPr>
      <w:sz w:val="21"/>
      <w:szCs w:val="21"/>
    </w:rPr>
  </w:style>
  <w:style w:type="character" w:styleId="46">
    <w:name w:val="HTML Cite"/>
    <w:qFormat/>
    <w:uiPriority w:val="0"/>
    <w:rPr>
      <w:color w:val="008000"/>
    </w:rPr>
  </w:style>
  <w:style w:type="character" w:styleId="47">
    <w:name w:val="footnote reference"/>
    <w:uiPriority w:val="0"/>
    <w:rPr>
      <w:vertAlign w:val="superscript"/>
    </w:rPr>
  </w:style>
  <w:style w:type="character" w:customStyle="1" w:styleId="48">
    <w:name w:val="标题 3 字符"/>
    <w:link w:val="7"/>
    <w:qFormat/>
    <w:uiPriority w:val="0"/>
    <w:rPr>
      <w:rFonts w:ascii="宋体" w:hAnsi="Times New Roman" w:eastAsia="宋体" w:cs="Times New Roman"/>
      <w:b/>
      <w:bCs/>
      <w:sz w:val="28"/>
      <w:szCs w:val="32"/>
    </w:rPr>
  </w:style>
  <w:style w:type="character" w:customStyle="1" w:styleId="49">
    <w:name w:val="标题 1 字符"/>
    <w:link w:val="4"/>
    <w:qFormat/>
    <w:uiPriority w:val="0"/>
    <w:rPr>
      <w:rFonts w:ascii="Times New Roman" w:hAnsi="Times New Roman"/>
      <w:b/>
      <w:bCs/>
      <w:kern w:val="44"/>
      <w:sz w:val="32"/>
      <w:szCs w:val="44"/>
    </w:rPr>
  </w:style>
  <w:style w:type="paragraph" w:customStyle="1" w:styleId="50">
    <w:name w:val="*正文"/>
    <w:basedOn w:val="1"/>
    <w:link w:val="51"/>
    <w:qFormat/>
    <w:uiPriority w:val="0"/>
    <w:pPr>
      <w:widowControl/>
      <w:spacing w:before="120" w:after="120" w:line="360" w:lineRule="auto"/>
      <w:ind w:left="200" w:leftChars="200" w:firstLine="437"/>
      <w:jc w:val="left"/>
    </w:pPr>
    <w:rPr>
      <w:rFonts w:hAnsi="宋体" w:eastAsia="Songti SC"/>
      <w:szCs w:val="21"/>
    </w:rPr>
  </w:style>
  <w:style w:type="character" w:customStyle="1" w:styleId="51">
    <w:name w:val="*正文 Char"/>
    <w:link w:val="50"/>
    <w:qFormat/>
    <w:uiPriority w:val="0"/>
    <w:rPr>
      <w:rFonts w:ascii="宋体" w:hAnsi="宋体" w:eastAsia="Songti SC"/>
      <w:szCs w:val="21"/>
    </w:rPr>
  </w:style>
  <w:style w:type="character" w:customStyle="1" w:styleId="52">
    <w:name w:val="标题 2 字符"/>
    <w:link w:val="5"/>
    <w:qFormat/>
    <w:uiPriority w:val="0"/>
    <w:rPr>
      <w:rFonts w:ascii="Calibri" w:hAnsi="宋体" w:eastAsia="SimSun-ExtB" w:cs="宋体"/>
      <w:kern w:val="0"/>
      <w:sz w:val="28"/>
      <w:szCs w:val="44"/>
      <w:lang w:val="zh-CN" w:bidi="zh-CN"/>
    </w:rPr>
  </w:style>
  <w:style w:type="character" w:customStyle="1" w:styleId="53">
    <w:name w:val="标题 4 字符"/>
    <w:link w:val="8"/>
    <w:qFormat/>
    <w:uiPriority w:val="0"/>
    <w:rPr>
      <w:rFonts w:ascii="Arial" w:hAnsi="Arial" w:eastAsia="黑体"/>
      <w:b/>
      <w:bCs/>
      <w:sz w:val="24"/>
      <w:szCs w:val="28"/>
      <w:lang w:val="zh-CN"/>
    </w:rPr>
  </w:style>
  <w:style w:type="paragraph" w:customStyle="1" w:styleId="54">
    <w:name w:val="DLP正文"/>
    <w:basedOn w:val="1"/>
    <w:qFormat/>
    <w:uiPriority w:val="0"/>
    <w:pPr>
      <w:widowControl/>
      <w:snapToGrid w:val="0"/>
      <w:spacing w:before="50" w:beforeLines="50" w:after="100" w:afterAutospacing="1" w:line="360" w:lineRule="auto"/>
      <w:ind w:firstLine="473" w:firstLineChars="200"/>
    </w:pPr>
    <w:rPr>
      <w:rFonts w:ascii="Verdana" w:hAnsi="宋体" w:eastAsia="SimSun-ExtB"/>
    </w:rPr>
  </w:style>
  <w:style w:type="character" w:customStyle="1" w:styleId="55">
    <w:name w:val="标题 5 字符"/>
    <w:basedOn w:val="39"/>
    <w:link w:val="9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56">
    <w:name w:val="标题 6 字符"/>
    <w:basedOn w:val="39"/>
    <w:link w:val="10"/>
    <w:qFormat/>
    <w:uiPriority w:val="0"/>
    <w:rPr>
      <w:rFonts w:ascii="Arial" w:hAnsi="Arial" w:eastAsia="黑体" w:cs="Times New Roman"/>
      <w:b/>
      <w:bCs/>
      <w:sz w:val="24"/>
    </w:rPr>
  </w:style>
  <w:style w:type="character" w:customStyle="1" w:styleId="57">
    <w:name w:val="文档结构图 字符"/>
    <w:basedOn w:val="39"/>
    <w:link w:val="13"/>
    <w:qFormat/>
    <w:uiPriority w:val="0"/>
    <w:rPr>
      <w:rFonts w:ascii="Calibri" w:hAnsi="Calibri" w:eastAsia="宋体" w:cs="Times New Roman"/>
      <w:szCs w:val="22"/>
      <w:shd w:val="clear" w:color="auto" w:fill="000080"/>
    </w:rPr>
  </w:style>
  <w:style w:type="character" w:customStyle="1" w:styleId="58">
    <w:name w:val="批注文字 字符"/>
    <w:basedOn w:val="39"/>
    <w:link w:val="14"/>
    <w:qFormat/>
    <w:uiPriority w:val="0"/>
    <w:rPr>
      <w:rFonts w:ascii="Calibri" w:hAnsi="Calibri" w:eastAsia="宋体" w:cs="Times New Roman"/>
      <w:szCs w:val="22"/>
    </w:rPr>
  </w:style>
  <w:style w:type="character" w:customStyle="1" w:styleId="59">
    <w:name w:val="正文文本 3 字符"/>
    <w:basedOn w:val="39"/>
    <w:link w:val="15"/>
    <w:qFormat/>
    <w:uiPriority w:val="0"/>
    <w:rPr>
      <w:rFonts w:ascii="Calibri" w:hAnsi="Calibri" w:eastAsia="宋体" w:cs="Times New Roman"/>
      <w:szCs w:val="22"/>
    </w:rPr>
  </w:style>
  <w:style w:type="character" w:customStyle="1" w:styleId="60">
    <w:name w:val="正文文本 字符"/>
    <w:basedOn w:val="39"/>
    <w:link w:val="16"/>
    <w:qFormat/>
    <w:uiPriority w:val="0"/>
    <w:rPr>
      <w:rFonts w:ascii="Times New Roman" w:hAnsi="Times New Roman" w:eastAsia="宋体" w:cs="Times New Roman"/>
      <w:sz w:val="28"/>
    </w:rPr>
  </w:style>
  <w:style w:type="character" w:customStyle="1" w:styleId="61">
    <w:name w:val="正文文本缩进 字符"/>
    <w:basedOn w:val="39"/>
    <w:link w:val="2"/>
    <w:qFormat/>
    <w:uiPriority w:val="0"/>
    <w:rPr>
      <w:rFonts w:ascii="宋体" w:hAnsi="Courier New" w:eastAsia="宋体" w:cs="Times New Roman"/>
      <w:spacing w:val="-4"/>
      <w:sz w:val="18"/>
      <w:szCs w:val="20"/>
    </w:rPr>
  </w:style>
  <w:style w:type="character" w:customStyle="1" w:styleId="62">
    <w:name w:val="正文文本首行缩进 2 字符"/>
    <w:basedOn w:val="61"/>
    <w:link w:val="3"/>
    <w:qFormat/>
    <w:uiPriority w:val="99"/>
    <w:rPr>
      <w:rFonts w:ascii="宋体" w:hAnsi="Courier New" w:eastAsia="宋体" w:cs="Times New Roman"/>
      <w:spacing w:val="-4"/>
      <w:sz w:val="18"/>
      <w:szCs w:val="20"/>
    </w:rPr>
  </w:style>
  <w:style w:type="character" w:customStyle="1" w:styleId="63">
    <w:name w:val="纯文本 字符"/>
    <w:basedOn w:val="39"/>
    <w:link w:val="20"/>
    <w:qFormat/>
    <w:uiPriority w:val="0"/>
    <w:rPr>
      <w:rFonts w:ascii="宋体" w:hAnsi="Courier New" w:eastAsia="宋体" w:cs="Times New Roman"/>
      <w:kern w:val="0"/>
      <w:sz w:val="24"/>
    </w:rPr>
  </w:style>
  <w:style w:type="character" w:customStyle="1" w:styleId="64">
    <w:name w:val="日期 字符"/>
    <w:basedOn w:val="39"/>
    <w:link w:val="22"/>
    <w:qFormat/>
    <w:uiPriority w:val="99"/>
    <w:rPr>
      <w:rFonts w:ascii="Times New Roman" w:hAnsi="Times New Roman" w:eastAsia="楷体_GB2312" w:cs="Times New Roman"/>
      <w:sz w:val="32"/>
      <w:szCs w:val="20"/>
    </w:rPr>
  </w:style>
  <w:style w:type="character" w:customStyle="1" w:styleId="65">
    <w:name w:val="正文文本缩进 2 字符"/>
    <w:basedOn w:val="39"/>
    <w:link w:val="23"/>
    <w:qFormat/>
    <w:uiPriority w:val="0"/>
    <w:rPr>
      <w:rFonts w:ascii="仿宋_GB2312" w:hAnsi="宋体" w:eastAsia="宋体" w:cs="Arial"/>
      <w:b/>
      <w:bCs/>
      <w:color w:val="000000"/>
      <w:sz w:val="24"/>
    </w:rPr>
  </w:style>
  <w:style w:type="character" w:customStyle="1" w:styleId="66">
    <w:name w:val="批注框文本 字符"/>
    <w:basedOn w:val="39"/>
    <w:link w:val="2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7">
    <w:name w:val="页脚 字符"/>
    <w:basedOn w:val="39"/>
    <w:link w:val="2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68">
    <w:name w:val="页眉 字符"/>
    <w:basedOn w:val="39"/>
    <w:link w:val="26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69">
    <w:name w:val="脚注文本 字符"/>
    <w:basedOn w:val="39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0">
    <w:name w:val="正文文本缩进 3 字符"/>
    <w:basedOn w:val="39"/>
    <w:link w:val="30"/>
    <w:qFormat/>
    <w:uiPriority w:val="0"/>
    <w:rPr>
      <w:rFonts w:ascii="仿宋_GB2312" w:hAnsi="宋体" w:eastAsia="仿宋_GB2312" w:cs="Times New Roman"/>
      <w:color w:val="000000"/>
      <w:sz w:val="24"/>
    </w:rPr>
  </w:style>
  <w:style w:type="character" w:customStyle="1" w:styleId="71">
    <w:name w:val="正文文本 2 字符"/>
    <w:basedOn w:val="39"/>
    <w:link w:val="32"/>
    <w:qFormat/>
    <w:uiPriority w:val="0"/>
    <w:rPr>
      <w:rFonts w:ascii="宋体" w:hAnsi="宋体" w:eastAsia="宋体" w:cs="Times New Roman"/>
      <w:color w:val="000000"/>
      <w:kern w:val="0"/>
      <w:sz w:val="24"/>
    </w:rPr>
  </w:style>
  <w:style w:type="character" w:customStyle="1" w:styleId="72">
    <w:name w:val="标题 字符"/>
    <w:basedOn w:val="39"/>
    <w:link w:val="34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73">
    <w:name w:val="批注主题 字符"/>
    <w:basedOn w:val="58"/>
    <w:link w:val="35"/>
    <w:qFormat/>
    <w:uiPriority w:val="0"/>
    <w:rPr>
      <w:rFonts w:ascii="Calibri" w:hAnsi="Calibri" w:eastAsia="宋体" w:cs="Times New Roman"/>
      <w:b/>
      <w:bCs/>
      <w:szCs w:val="22"/>
    </w:rPr>
  </w:style>
  <w:style w:type="paragraph" w:customStyle="1" w:styleId="74">
    <w:name w:val="待斟酌"/>
    <w:basedOn w:val="1"/>
    <w:link w:val="121"/>
    <w:qFormat/>
    <w:uiPriority w:val="0"/>
    <w:pPr>
      <w:widowControl/>
      <w:spacing w:line="520" w:lineRule="exact"/>
      <w:ind w:firstLine="562" w:firstLineChars="200"/>
      <w:jc w:val="left"/>
    </w:pPr>
    <w:rPr>
      <w:rFonts w:ascii="仿宋_GB2312" w:eastAsia="仿宋_GB2312"/>
      <w:b/>
      <w:color w:val="C00000"/>
      <w:kern w:val="0"/>
      <w:sz w:val="28"/>
      <w:szCs w:val="28"/>
    </w:rPr>
  </w:style>
  <w:style w:type="paragraph" w:customStyle="1" w:styleId="75">
    <w:name w:val="a"/>
    <w:basedOn w:val="1"/>
    <w:link w:val="12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kern w:val="0"/>
      <w:sz w:val="24"/>
      <w:szCs w:val="20"/>
    </w:rPr>
  </w:style>
  <w:style w:type="paragraph" w:customStyle="1" w:styleId="76">
    <w:name w:val="自定义正文"/>
    <w:basedOn w:val="1"/>
    <w:link w:val="128"/>
    <w:qFormat/>
    <w:uiPriority w:val="0"/>
    <w:pPr>
      <w:spacing w:before="60" w:after="120" w:line="560" w:lineRule="exact"/>
      <w:ind w:firstLine="200" w:firstLineChars="200"/>
      <w:jc w:val="left"/>
    </w:pPr>
    <w:rPr>
      <w:rFonts w:ascii="仿宋_GB2312" w:eastAsia="华文仿宋"/>
      <w:kern w:val="0"/>
      <w:sz w:val="28"/>
      <w:szCs w:val="24"/>
    </w:rPr>
  </w:style>
  <w:style w:type="paragraph" w:customStyle="1" w:styleId="77">
    <w:name w:val="表格正文"/>
    <w:basedOn w:val="1"/>
    <w:link w:val="134"/>
    <w:qFormat/>
    <w:uiPriority w:val="0"/>
    <w:pPr>
      <w:widowControl/>
      <w:spacing w:line="440" w:lineRule="exact"/>
      <w:jc w:val="left"/>
    </w:pPr>
    <w:rPr>
      <w:rFonts w:ascii="仿宋_GB2312" w:hAnsi="宋体" w:eastAsia="仿宋"/>
      <w:color w:val="000000"/>
      <w:kern w:val="0"/>
      <w:sz w:val="24"/>
      <w:szCs w:val="16"/>
    </w:rPr>
  </w:style>
  <w:style w:type="paragraph" w:customStyle="1" w:styleId="78">
    <w:name w:val="正文--不缩进"/>
    <w:basedOn w:val="1"/>
    <w:link w:val="136"/>
    <w:qFormat/>
    <w:uiPriority w:val="0"/>
    <w:pPr>
      <w:widowControl/>
      <w:spacing w:line="520" w:lineRule="exact"/>
      <w:jc w:val="left"/>
    </w:pPr>
    <w:rPr>
      <w:rFonts w:ascii="仿宋_GB2312" w:eastAsia="仿宋_GB2312"/>
      <w:kern w:val="0"/>
      <w:sz w:val="28"/>
      <w:szCs w:val="28"/>
      <w:shd w:val="clear" w:color="auto" w:fill="FFFFFF"/>
    </w:rPr>
  </w:style>
  <w:style w:type="paragraph" w:styleId="79">
    <w:name w:val="List Paragraph"/>
    <w:basedOn w:val="1"/>
    <w:link w:val="144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80">
    <w:name w:val="样式2"/>
    <w:basedOn w:val="9"/>
    <w:qFormat/>
    <w:uiPriority w:val="0"/>
    <w:pPr>
      <w:spacing w:beforeLines="50" w:afterLines="50" w:line="440" w:lineRule="exact"/>
      <w:ind w:firstLine="472" w:firstLineChars="147"/>
    </w:pPr>
    <w:rPr>
      <w:rFonts w:ascii="仿宋_GB2312" w:eastAsia="仿宋_GB2312"/>
    </w:rPr>
  </w:style>
  <w:style w:type="paragraph" w:customStyle="1" w:styleId="81">
    <w:name w:val="样式3"/>
    <w:basedOn w:val="10"/>
    <w:next w:val="10"/>
    <w:qFormat/>
    <w:uiPriority w:val="0"/>
    <w:pPr>
      <w:spacing w:beforeLines="50" w:afterLines="50" w:line="440" w:lineRule="exact"/>
      <w:ind w:firstLine="472" w:firstLineChars="147"/>
    </w:pPr>
    <w:rPr>
      <w:rFonts w:ascii="仿宋_GB2312" w:eastAsia="仿宋_GB2312"/>
    </w:rPr>
  </w:style>
  <w:style w:type="paragraph" w:customStyle="1" w:styleId="82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83">
    <w:name w:val="Char Char Char Char Char Char Char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8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rFonts w:ascii="Times New Roman" w:hAnsi="Times New Roman"/>
      <w:kern w:val="0"/>
      <w:sz w:val="24"/>
      <w:szCs w:val="20"/>
    </w:rPr>
  </w:style>
  <w:style w:type="paragraph" w:customStyle="1" w:styleId="8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86">
    <w:name w:val="TOC 标题1"/>
    <w:basedOn w:val="4"/>
    <w:next w:val="1"/>
    <w:qFormat/>
    <w:uiPriority w:val="0"/>
    <w:pPr>
      <w:pageBreakBefore w:val="0"/>
      <w:spacing w:before="480" w:after="0" w:line="276" w:lineRule="auto"/>
      <w:ind w:left="0" w:firstLine="0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87">
    <w:name w:val="Char Char1 Char Char Char Char1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88">
    <w:name w:val="自动更正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9">
    <w:name w:val="样式1"/>
    <w:basedOn w:val="8"/>
    <w:qFormat/>
    <w:uiPriority w:val="0"/>
    <w:pPr>
      <w:widowControl w:val="0"/>
      <w:spacing w:beforeLines="0" w:afterAutospacing="0"/>
    </w:pPr>
    <w:rPr>
      <w:rFonts w:ascii="宋体" w:hAnsi="宋体" w:cs="Times New Roman"/>
      <w:lang w:val="en-US"/>
    </w:rPr>
  </w:style>
  <w:style w:type="paragraph" w:customStyle="1" w:styleId="90">
    <w:name w:val="Char Char Char Char Char Char Char1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91">
    <w:name w:val="正文居中"/>
    <w:basedOn w:val="1"/>
    <w:qFormat/>
    <w:uiPriority w:val="0"/>
    <w:pPr>
      <w:jc w:val="center"/>
    </w:pPr>
    <w:rPr>
      <w:rFonts w:hAnsi="仿宋_GB2312" w:cs="Calibri"/>
    </w:rPr>
  </w:style>
  <w:style w:type="paragraph" w:customStyle="1" w:styleId="92">
    <w:name w:val="Proposals body"/>
    <w:basedOn w:val="1"/>
    <w:next w:val="1"/>
    <w:qFormat/>
    <w:uiPriority w:val="0"/>
    <w:pPr>
      <w:widowControl/>
      <w:spacing w:line="360" w:lineRule="auto"/>
      <w:jc w:val="left"/>
    </w:pPr>
    <w:rPr>
      <w:rFonts w:ascii="宋体" w:hAnsi="Times New Roman"/>
      <w:snapToGrid w:val="0"/>
      <w:color w:val="000000"/>
      <w:kern w:val="0"/>
      <w:sz w:val="24"/>
      <w:szCs w:val="20"/>
    </w:rPr>
  </w:style>
  <w:style w:type="paragraph" w:customStyle="1" w:styleId="93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94">
    <w:name w:val="Char1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95">
    <w:name w:val="Char11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paragraph" w:customStyle="1" w:styleId="96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ascii="仿宋_GB2312" w:hAnsi="Times New Roman" w:eastAsia="仿宋_GB2312"/>
      <w:spacing w:val="-20"/>
      <w:kern w:val="0"/>
      <w:sz w:val="24"/>
      <w:szCs w:val="24"/>
    </w:rPr>
  </w:style>
  <w:style w:type="paragraph" w:customStyle="1" w:styleId="97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9">
    <w:name w:val="paragraph1"/>
    <w:basedOn w:val="1"/>
    <w:qFormat/>
    <w:uiPriority w:val="0"/>
    <w:pPr>
      <w:spacing w:afterLines="30" w:line="360" w:lineRule="auto"/>
      <w:ind w:firstLine="420" w:firstLineChars="200"/>
    </w:pPr>
    <w:rPr>
      <w:rFonts w:ascii="Times New Roman" w:hAnsi="Times New Roman" w:eastAsia="楷体_GB2312"/>
      <w:sz w:val="24"/>
      <w:szCs w:val="20"/>
    </w:rPr>
  </w:style>
  <w:style w:type="paragraph" w:customStyle="1" w:styleId="10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102">
    <w:name w:val="Char Char5"/>
    <w:basedOn w:val="1"/>
    <w:qFormat/>
    <w:uiPriority w:val="0"/>
    <w:pPr>
      <w:adjustRightInd w:val="0"/>
      <w:spacing w:line="360" w:lineRule="atLeast"/>
    </w:pPr>
    <w:rPr>
      <w:rFonts w:ascii="Tahoma" w:hAnsi="Tahoma"/>
      <w:sz w:val="24"/>
      <w:szCs w:val="20"/>
    </w:rPr>
  </w:style>
  <w:style w:type="paragraph" w:customStyle="1" w:styleId="103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4">
    <w:name w:val="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paragraph" w:customStyle="1" w:styleId="105">
    <w:name w:val="Char2"/>
    <w:basedOn w:val="1"/>
    <w:qFormat/>
    <w:uiPriority w:val="0"/>
    <w:rPr>
      <w:rFonts w:ascii="Times New Roman" w:hAnsi="Times New Roman"/>
      <w:szCs w:val="24"/>
    </w:rPr>
  </w:style>
  <w:style w:type="paragraph" w:customStyle="1" w:styleId="106">
    <w:name w:val="Char Char Char Char"/>
    <w:basedOn w:val="1"/>
    <w:qFormat/>
    <w:uiPriority w:val="0"/>
    <w:pPr>
      <w:tabs>
        <w:tab w:val="left" w:pos="360"/>
      </w:tabs>
    </w:pPr>
    <w:rPr>
      <w:rFonts w:ascii="Times New Roman" w:hAnsi="Times New Roman"/>
      <w:sz w:val="24"/>
      <w:szCs w:val="20"/>
    </w:rPr>
  </w:style>
  <w:style w:type="paragraph" w:customStyle="1" w:styleId="107">
    <w:name w:val="Char3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8">
    <w:name w:val="_Style 68"/>
    <w:basedOn w:val="1"/>
    <w:next w:val="79"/>
    <w:qFormat/>
    <w:uiPriority w:val="34"/>
    <w:pPr>
      <w:ind w:firstLine="420" w:firstLineChars="200"/>
    </w:pPr>
  </w:style>
  <w:style w:type="paragraph" w:customStyle="1" w:styleId="109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0">
    <w:name w:val="彩色列表 - 强调文字颜色 11"/>
    <w:basedOn w:val="1"/>
    <w:qFormat/>
    <w:uiPriority w:val="0"/>
    <w:pPr>
      <w:autoSpaceDE w:val="0"/>
      <w:autoSpaceDN w:val="0"/>
      <w:adjustRightInd w:val="0"/>
      <w:ind w:firstLine="420" w:firstLineChars="200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111">
    <w:name w:val="标题 2 字符1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2">
    <w:name w:val="正文缩进 字符"/>
    <w:link w:val="6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113">
    <w:name w:val="题注 字符"/>
    <w:link w:val="12"/>
    <w:qFormat/>
    <w:locked/>
    <w:uiPriority w:val="35"/>
    <w:rPr>
      <w:rFonts w:ascii="Arial" w:hAnsi="Arial" w:eastAsia="黑体" w:cs="Arial"/>
      <w:sz w:val="20"/>
      <w:szCs w:val="20"/>
    </w:rPr>
  </w:style>
  <w:style w:type="character" w:customStyle="1" w:styleId="114">
    <w:name w:val="脚注文本 字符1"/>
    <w:link w:val="2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5">
    <w:name w:val="日期 Char"/>
    <w:qFormat/>
    <w:uiPriority w:val="99"/>
    <w:rPr>
      <w:rFonts w:eastAsia="楷体_GB2312"/>
      <w:kern w:val="2"/>
      <w:sz w:val="32"/>
    </w:rPr>
  </w:style>
  <w:style w:type="character" w:customStyle="1" w:styleId="116">
    <w:name w:val="flname7"/>
    <w:qFormat/>
    <w:uiPriority w:val="0"/>
  </w:style>
  <w:style w:type="character" w:customStyle="1" w:styleId="117">
    <w:name w:val="para"/>
    <w:qFormat/>
    <w:uiPriority w:val="0"/>
  </w:style>
  <w:style w:type="character" w:customStyle="1" w:styleId="118">
    <w:name w:val="font3"/>
    <w:qFormat/>
    <w:uiPriority w:val="0"/>
  </w:style>
  <w:style w:type="character" w:customStyle="1" w:styleId="119">
    <w:name w:val="正文文本 2 Char"/>
    <w:qFormat/>
    <w:uiPriority w:val="0"/>
    <w:rPr>
      <w:rFonts w:ascii="宋体" w:hAnsi="宋体" w:eastAsia="宋体"/>
      <w:color w:val="000000"/>
      <w:sz w:val="24"/>
      <w:szCs w:val="24"/>
    </w:rPr>
  </w:style>
  <w:style w:type="character" w:customStyle="1" w:styleId="120">
    <w:name w:val="Char Char2"/>
    <w:qFormat/>
    <w:uiPriority w:val="0"/>
    <w:rPr>
      <w:rFonts w:ascii="宋体" w:hAnsi="Courier New" w:eastAsia="宋体"/>
      <w:sz w:val="21"/>
      <w:lang w:val="en-US" w:eastAsia="zh-CN" w:bidi="ar-SA"/>
    </w:rPr>
  </w:style>
  <w:style w:type="character" w:customStyle="1" w:styleId="121">
    <w:name w:val="待斟酌 Char"/>
    <w:link w:val="74"/>
    <w:qFormat/>
    <w:uiPriority w:val="0"/>
    <w:rPr>
      <w:rFonts w:ascii="仿宋_GB2312" w:hAnsi="Calibri" w:eastAsia="仿宋_GB2312" w:cs="Times New Roman"/>
      <w:b/>
      <w:color w:val="C00000"/>
      <w:kern w:val="0"/>
      <w:sz w:val="28"/>
      <w:szCs w:val="28"/>
    </w:rPr>
  </w:style>
  <w:style w:type="character" w:customStyle="1" w:styleId="122">
    <w:name w:val="标题 Char"/>
    <w:qFormat/>
    <w:locked/>
    <w:uiPriority w:val="99"/>
    <w:rPr>
      <w:rFonts w:ascii="Cambria" w:hAnsi="Cambria"/>
      <w:b/>
      <w:bCs/>
      <w:sz w:val="32"/>
      <w:szCs w:val="32"/>
    </w:rPr>
  </w:style>
  <w:style w:type="character" w:customStyle="1" w:styleId="123">
    <w:name w:val="title14"/>
    <w:qFormat/>
    <w:uiPriority w:val="0"/>
  </w:style>
  <w:style w:type="character" w:customStyle="1" w:styleId="124">
    <w:name w:val="页脚 Char"/>
    <w:qFormat/>
    <w:uiPriority w:val="0"/>
    <w:rPr>
      <w:sz w:val="18"/>
      <w:szCs w:val="18"/>
    </w:rPr>
  </w:style>
  <w:style w:type="character" w:customStyle="1" w:styleId="125">
    <w:name w:val="a Char Char"/>
    <w:link w:val="75"/>
    <w:qFormat/>
    <w:uiPriority w:val="0"/>
    <w:rPr>
      <w:rFonts w:ascii="宋体" w:hAnsi="宋体" w:eastAsia="仿宋_GB2312" w:cs="Times New Roman"/>
      <w:kern w:val="0"/>
      <w:sz w:val="24"/>
      <w:szCs w:val="20"/>
    </w:rPr>
  </w:style>
  <w:style w:type="character" w:customStyle="1" w:styleId="126">
    <w:name w:val="标题 1 Char Char"/>
    <w:qFormat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127">
    <w:name w:val="mod-title ml-5"/>
    <w:qFormat/>
    <w:uiPriority w:val="0"/>
  </w:style>
  <w:style w:type="character" w:customStyle="1" w:styleId="128">
    <w:name w:val="自定义正文 Char"/>
    <w:link w:val="76"/>
    <w:qFormat/>
    <w:uiPriority w:val="0"/>
    <w:rPr>
      <w:rFonts w:ascii="仿宋_GB2312" w:hAnsi="Calibri" w:eastAsia="华文仿宋" w:cs="Times New Roman"/>
      <w:kern w:val="0"/>
      <w:sz w:val="28"/>
    </w:rPr>
  </w:style>
  <w:style w:type="character" w:customStyle="1" w:styleId="129">
    <w:name w:val="Char Char1"/>
    <w:qFormat/>
    <w:uiPriority w:val="0"/>
    <w:rPr>
      <w:kern w:val="2"/>
      <w:sz w:val="18"/>
      <w:szCs w:val="18"/>
    </w:rPr>
  </w:style>
  <w:style w:type="character" w:customStyle="1" w:styleId="130">
    <w:name w:val="apple-style-span"/>
    <w:qFormat/>
    <w:uiPriority w:val="0"/>
  </w:style>
  <w:style w:type="character" w:customStyle="1" w:styleId="131">
    <w:name w:val="font7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32">
    <w:name w:val="纯文本 Char"/>
    <w:qFormat/>
    <w:uiPriority w:val="0"/>
    <w:rPr>
      <w:rFonts w:ascii="宋体" w:hAnsi="Courier New"/>
      <w:sz w:val="24"/>
      <w:szCs w:val="24"/>
    </w:rPr>
  </w:style>
  <w:style w:type="character" w:customStyle="1" w:styleId="133">
    <w:name w:val="maywed421"/>
    <w:qFormat/>
    <w:uiPriority w:val="0"/>
    <w:rPr>
      <w:color w:val="366FB6"/>
      <w:u w:val="none"/>
    </w:rPr>
  </w:style>
  <w:style w:type="character" w:customStyle="1" w:styleId="134">
    <w:name w:val="表格正文 Char"/>
    <w:link w:val="77"/>
    <w:qFormat/>
    <w:uiPriority w:val="0"/>
    <w:rPr>
      <w:rFonts w:ascii="仿宋_GB2312" w:hAnsi="宋体" w:eastAsia="仿宋" w:cs="Times New Roman"/>
      <w:color w:val="000000"/>
      <w:kern w:val="0"/>
      <w:sz w:val="24"/>
      <w:szCs w:val="16"/>
    </w:rPr>
  </w:style>
  <w:style w:type="character" w:customStyle="1" w:styleId="135">
    <w:name w:val="标题1"/>
    <w:qFormat/>
    <w:uiPriority w:val="0"/>
  </w:style>
  <w:style w:type="character" w:customStyle="1" w:styleId="136">
    <w:name w:val="正文--不缩进 Char"/>
    <w:link w:val="78"/>
    <w:qFormat/>
    <w:uiPriority w:val="0"/>
    <w:rPr>
      <w:rFonts w:ascii="仿宋_GB2312" w:hAnsi="Calibri" w:eastAsia="仿宋_GB2312" w:cs="Times New Roman"/>
      <w:kern w:val="0"/>
      <w:sz w:val="28"/>
      <w:szCs w:val="28"/>
    </w:rPr>
  </w:style>
  <w:style w:type="character" w:customStyle="1" w:styleId="137">
    <w:name w:val="b titlename wangputoptitle"/>
    <w:qFormat/>
    <w:uiPriority w:val="0"/>
  </w:style>
  <w:style w:type="character" w:customStyle="1" w:styleId="138">
    <w:name w:val="页眉 Char"/>
    <w:qFormat/>
    <w:uiPriority w:val="0"/>
    <w:rPr>
      <w:sz w:val="18"/>
      <w:szCs w:val="18"/>
    </w:rPr>
  </w:style>
  <w:style w:type="character" w:customStyle="1" w:styleId="139">
    <w:name w:val="_Style 13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0">
    <w:name w:val="文档结构图 Char"/>
    <w:qFormat/>
    <w:uiPriority w:val="0"/>
    <w:rPr>
      <w:rFonts w:ascii="宋体"/>
      <w:kern w:val="2"/>
      <w:sz w:val="18"/>
      <w:szCs w:val="18"/>
    </w:rPr>
  </w:style>
  <w:style w:type="character" w:customStyle="1" w:styleId="141">
    <w:name w:val="纯文本 Char1"/>
    <w:uiPriority w:val="0"/>
    <w:rPr>
      <w:rFonts w:ascii="宋体" w:hAnsi="Courier New"/>
      <w:sz w:val="21"/>
    </w:rPr>
  </w:style>
  <w:style w:type="character" w:customStyle="1" w:styleId="142">
    <w:name w:val="标题 3 Char"/>
    <w:qFormat/>
    <w:uiPriority w:val="9"/>
    <w:rPr>
      <w:b/>
      <w:bCs/>
      <w:sz w:val="32"/>
      <w:szCs w:val="32"/>
    </w:rPr>
  </w:style>
  <w:style w:type="character" w:customStyle="1" w:styleId="143">
    <w:name w:val="批注框文本 Char"/>
    <w:qFormat/>
    <w:uiPriority w:val="0"/>
    <w:rPr>
      <w:kern w:val="2"/>
      <w:sz w:val="18"/>
      <w:szCs w:val="18"/>
    </w:rPr>
  </w:style>
  <w:style w:type="character" w:customStyle="1" w:styleId="144">
    <w:name w:val="列表段落 字符"/>
    <w:link w:val="79"/>
    <w:qFormat/>
    <w:locked/>
    <w:uiPriority w:val="34"/>
    <w:rPr>
      <w:rFonts w:ascii="Tahoma" w:hAnsi="Tahoma" w:eastAsia="微软雅黑" w:cs="Times New Roman"/>
      <w:kern w:val="0"/>
      <w:sz w:val="22"/>
      <w:szCs w:val="22"/>
    </w:rPr>
  </w:style>
  <w:style w:type="character" w:customStyle="1" w:styleId="145">
    <w:name w:val="正文文本首行缩进 字符"/>
    <w:basedOn w:val="60"/>
    <w:link w:val="36"/>
    <w:semiHidden/>
    <w:qFormat/>
    <w:uiPriority w:val="99"/>
    <w:rPr>
      <w:rFonts w:ascii="Calibri" w:hAnsi="Calibri" w:eastAsia="宋体" w:cs="Times New Roman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4676</Words>
  <Characters>4996</Characters>
  <Lines>33</Lines>
  <Paragraphs>9</Paragraphs>
  <TotalTime>4</TotalTime>
  <ScaleCrop>false</ScaleCrop>
  <LinksUpToDate>false</LinksUpToDate>
  <CharactersWithSpaces>5162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2022-05-06T11:18:00Z</dcterms:created>
  <dc:creator>yaosj722@163.com</dc:creator>
  <cp:lastModifiedBy>虫二开心果</cp:lastModifiedBy>
  <dcterms:modified xsi:type="dcterms:W3CDTF">2022-05-09T06:22:23Z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733E0ACD4FB24536A3E8C6818F661BF2</vt:lpwstr>
  </property>
</Properties>
</file>