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5.xml" ContentType="application/vnd.openxmlformats-officedocument.drawingml.chartshapes+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7.xml" ContentType="application/vnd.openxmlformats-officedocument.drawingml.chartshapes+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8.xml" ContentType="application/vnd.openxmlformats-officedocument.drawingml.chartshapes+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9.xml" ContentType="application/vnd.openxmlformats-officedocument.drawingml.chartshapes+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9029D" w14:textId="77777777" w:rsidR="00D067CC" w:rsidRDefault="00D067CC" w:rsidP="00D067CC">
      <w:pPr>
        <w:ind w:leftChars="100" w:left="210" w:rightChars="100" w:right="210"/>
        <w:jc w:val="center"/>
        <w:rPr>
          <w:rFonts w:eastAsia="楷体_GB2312"/>
          <w:spacing w:val="-34"/>
          <w:sz w:val="72"/>
          <w:szCs w:val="72"/>
        </w:rPr>
      </w:pPr>
      <w:r>
        <w:rPr>
          <w:b/>
          <w:noProof/>
          <w:kern w:val="0"/>
          <w:sz w:val="52"/>
          <w:szCs w:val="52"/>
        </w:rPr>
        <w:drawing>
          <wp:anchor distT="0" distB="0" distL="114300" distR="114300" simplePos="0" relativeHeight="251688960" behindDoc="0" locked="0" layoutInCell="1" allowOverlap="1" wp14:anchorId="15A88980" wp14:editId="7DAFC1A6">
            <wp:simplePos x="0" y="0"/>
            <wp:positionH relativeFrom="column">
              <wp:posOffset>43180</wp:posOffset>
            </wp:positionH>
            <wp:positionV relativeFrom="paragraph">
              <wp:posOffset>41910</wp:posOffset>
            </wp:positionV>
            <wp:extent cx="790575" cy="809625"/>
            <wp:effectExtent l="0" t="0" r="0" b="0"/>
            <wp:wrapNone/>
            <wp:docPr id="5" name="图片 5" descr="说明: 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中心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62F68" w14:textId="77777777" w:rsidR="00D067CC" w:rsidRDefault="00D067CC" w:rsidP="00D067CC">
      <w:pPr>
        <w:ind w:leftChars="100" w:left="210" w:rightChars="100" w:right="210"/>
        <w:jc w:val="center"/>
        <w:rPr>
          <w:rFonts w:eastAsia="楷体_GB2312"/>
          <w:spacing w:val="-34"/>
          <w:sz w:val="72"/>
          <w:szCs w:val="72"/>
        </w:rPr>
      </w:pPr>
    </w:p>
    <w:p w14:paraId="4825719D" w14:textId="6756E0B6" w:rsidR="00D067CC" w:rsidRPr="00877959" w:rsidRDefault="00392664" w:rsidP="00D067CC">
      <w:pPr>
        <w:ind w:leftChars="100" w:left="210" w:rightChars="100" w:right="210"/>
        <w:jc w:val="center"/>
        <w:rPr>
          <w:rFonts w:eastAsia="楷体_GB2312"/>
          <w:b/>
          <w:sz w:val="52"/>
          <w:szCs w:val="52"/>
        </w:rPr>
      </w:pPr>
      <w:r>
        <w:rPr>
          <w:rFonts w:ascii="Times New Roman" w:eastAsia="楷体_GB2312" w:hAnsi="Times New Roman" w:cs="Times New Roman"/>
          <w:b/>
          <w:sz w:val="52"/>
          <w:szCs w:val="52"/>
        </w:rPr>
        <w:t>2023</w:t>
      </w:r>
      <w:r w:rsidR="00D067CC" w:rsidRPr="00877959">
        <w:rPr>
          <w:rFonts w:eastAsia="楷体_GB2312" w:hint="eastAsia"/>
          <w:b/>
          <w:sz w:val="52"/>
          <w:szCs w:val="52"/>
        </w:rPr>
        <w:t>年浙江省排污单位</w:t>
      </w:r>
      <w:r w:rsidR="00F21172" w:rsidRPr="00877959">
        <w:rPr>
          <w:rFonts w:eastAsia="楷体_GB2312" w:hint="eastAsia"/>
          <w:b/>
          <w:sz w:val="52"/>
          <w:szCs w:val="52"/>
        </w:rPr>
        <w:t>执法</w:t>
      </w:r>
      <w:r w:rsidR="00D067CC" w:rsidRPr="00877959">
        <w:rPr>
          <w:rFonts w:eastAsia="楷体_GB2312" w:hint="eastAsia"/>
          <w:b/>
          <w:sz w:val="52"/>
          <w:szCs w:val="52"/>
        </w:rPr>
        <w:t>监测</w:t>
      </w:r>
    </w:p>
    <w:p w14:paraId="5F845CCA" w14:textId="77777777" w:rsidR="00D067CC" w:rsidRPr="00877959" w:rsidRDefault="00D067CC" w:rsidP="00D067CC">
      <w:pPr>
        <w:ind w:leftChars="100" w:left="210" w:rightChars="100" w:right="210"/>
        <w:jc w:val="center"/>
        <w:rPr>
          <w:rFonts w:eastAsia="楷体_GB2312"/>
          <w:b/>
          <w:sz w:val="52"/>
          <w:szCs w:val="52"/>
        </w:rPr>
      </w:pPr>
      <w:r w:rsidRPr="00877959">
        <w:rPr>
          <w:rFonts w:eastAsia="楷体_GB2312" w:hint="eastAsia"/>
          <w:b/>
          <w:sz w:val="52"/>
          <w:szCs w:val="52"/>
        </w:rPr>
        <w:t>评价报告</w:t>
      </w:r>
    </w:p>
    <w:p w14:paraId="73E89988" w14:textId="77777777" w:rsidR="00D067CC" w:rsidRDefault="00D067CC" w:rsidP="00D067CC">
      <w:pPr>
        <w:spacing w:beforeLines="50" w:before="156"/>
        <w:ind w:rightChars="-91" w:right="-191"/>
        <w:jc w:val="center"/>
        <w:rPr>
          <w:rFonts w:eastAsia="楷体_GB2312"/>
          <w:sz w:val="36"/>
          <w:szCs w:val="36"/>
        </w:rPr>
      </w:pPr>
    </w:p>
    <w:p w14:paraId="3D56E2AE" w14:textId="77777777" w:rsidR="00D067CC" w:rsidRPr="00541896" w:rsidRDefault="00D067CC" w:rsidP="00D067CC">
      <w:pPr>
        <w:spacing w:beforeLines="50" w:before="156"/>
        <w:ind w:rightChars="-91" w:right="-191"/>
        <w:jc w:val="center"/>
        <w:rPr>
          <w:rFonts w:eastAsia="楷体_GB2312"/>
          <w:sz w:val="36"/>
          <w:szCs w:val="36"/>
        </w:rPr>
      </w:pPr>
    </w:p>
    <w:p w14:paraId="4942F2D2" w14:textId="77777777" w:rsidR="00D067CC" w:rsidRDefault="00D067CC" w:rsidP="00D067CC">
      <w:pPr>
        <w:spacing w:beforeLines="50" w:before="156"/>
        <w:ind w:rightChars="-91" w:right="-191"/>
        <w:jc w:val="center"/>
        <w:rPr>
          <w:rFonts w:eastAsia="楷体_GB2312"/>
          <w:sz w:val="36"/>
          <w:szCs w:val="36"/>
        </w:rPr>
      </w:pPr>
    </w:p>
    <w:p w14:paraId="286A3250" w14:textId="77777777" w:rsidR="00D067CC" w:rsidRDefault="00D067CC" w:rsidP="00D067CC">
      <w:pPr>
        <w:spacing w:beforeLines="50" w:before="156"/>
        <w:ind w:rightChars="-91" w:right="-191"/>
        <w:jc w:val="center"/>
        <w:rPr>
          <w:rFonts w:eastAsia="楷体_GB2312"/>
          <w:sz w:val="36"/>
          <w:szCs w:val="36"/>
        </w:rPr>
      </w:pPr>
    </w:p>
    <w:p w14:paraId="0D19009B" w14:textId="77777777" w:rsidR="00D067CC" w:rsidRDefault="00D067CC" w:rsidP="00D067CC">
      <w:pPr>
        <w:spacing w:beforeLines="50" w:before="156"/>
        <w:ind w:rightChars="-91" w:right="-191"/>
        <w:jc w:val="center"/>
        <w:rPr>
          <w:rFonts w:eastAsia="楷体_GB2312"/>
          <w:sz w:val="36"/>
          <w:szCs w:val="36"/>
        </w:rPr>
      </w:pPr>
    </w:p>
    <w:p w14:paraId="1338F01C" w14:textId="77777777" w:rsidR="00D067CC" w:rsidRDefault="00D067CC" w:rsidP="00D067CC">
      <w:pPr>
        <w:spacing w:beforeLines="50" w:before="156"/>
        <w:ind w:rightChars="-91" w:right="-191"/>
        <w:jc w:val="center"/>
        <w:rPr>
          <w:rFonts w:eastAsia="楷体_GB2312"/>
          <w:sz w:val="36"/>
          <w:szCs w:val="36"/>
        </w:rPr>
      </w:pPr>
    </w:p>
    <w:p w14:paraId="0A6025B0" w14:textId="77777777" w:rsidR="00D067CC" w:rsidRDefault="00D067CC" w:rsidP="00D067CC">
      <w:pPr>
        <w:spacing w:beforeLines="50" w:before="156"/>
        <w:ind w:rightChars="-91" w:right="-191"/>
        <w:jc w:val="center"/>
        <w:rPr>
          <w:rFonts w:eastAsia="楷体_GB2312"/>
          <w:sz w:val="36"/>
          <w:szCs w:val="36"/>
        </w:rPr>
      </w:pPr>
    </w:p>
    <w:p w14:paraId="2592774D" w14:textId="77777777" w:rsidR="00D067CC" w:rsidRDefault="00D067CC" w:rsidP="00D067CC">
      <w:pPr>
        <w:spacing w:beforeLines="50" w:before="156"/>
        <w:ind w:rightChars="-91" w:right="-191"/>
        <w:jc w:val="center"/>
        <w:rPr>
          <w:rFonts w:eastAsia="楷体_GB2312"/>
          <w:sz w:val="36"/>
          <w:szCs w:val="36"/>
        </w:rPr>
      </w:pPr>
    </w:p>
    <w:p w14:paraId="7EF79ECF" w14:textId="77777777" w:rsidR="00D067CC" w:rsidRDefault="00D067CC" w:rsidP="00D067CC">
      <w:pPr>
        <w:spacing w:beforeLines="50" w:before="156"/>
        <w:ind w:rightChars="-91" w:right="-191"/>
        <w:jc w:val="center"/>
        <w:rPr>
          <w:rFonts w:eastAsia="楷体_GB2312"/>
          <w:sz w:val="36"/>
          <w:szCs w:val="36"/>
        </w:rPr>
      </w:pPr>
    </w:p>
    <w:p w14:paraId="7C94633B" w14:textId="77777777" w:rsidR="00D067CC" w:rsidRPr="00344643" w:rsidRDefault="00D067CC" w:rsidP="00D067CC">
      <w:pPr>
        <w:spacing w:beforeLines="50" w:before="156"/>
        <w:ind w:rightChars="-91" w:right="-191"/>
        <w:jc w:val="center"/>
        <w:rPr>
          <w:rFonts w:eastAsia="楷体_GB2312"/>
          <w:sz w:val="32"/>
          <w:szCs w:val="36"/>
        </w:rPr>
      </w:pPr>
    </w:p>
    <w:p w14:paraId="63AFCE56" w14:textId="77777777" w:rsidR="00D067CC" w:rsidRPr="00344643" w:rsidRDefault="00D067CC" w:rsidP="00D067CC">
      <w:pPr>
        <w:spacing w:line="360" w:lineRule="auto"/>
        <w:jc w:val="center"/>
        <w:rPr>
          <w:rFonts w:ascii="楷体_GB2312" w:eastAsia="楷体_GB2312"/>
          <w:b/>
          <w:sz w:val="40"/>
        </w:rPr>
      </w:pPr>
      <w:r w:rsidRPr="00344643">
        <w:rPr>
          <w:rFonts w:ascii="楷体_GB2312" w:eastAsia="楷体_GB2312" w:hint="eastAsia"/>
          <w:b/>
          <w:sz w:val="40"/>
        </w:rPr>
        <w:t>浙江省生态环境监测中心</w:t>
      </w:r>
    </w:p>
    <w:p w14:paraId="6A8B957A" w14:textId="0EADB08D" w:rsidR="00D067CC" w:rsidRPr="00344643" w:rsidRDefault="00F2075D" w:rsidP="00331110">
      <w:pPr>
        <w:spacing w:line="360" w:lineRule="auto"/>
        <w:jc w:val="center"/>
        <w:rPr>
          <w:rFonts w:ascii="Times New Roman" w:eastAsia="楷体_GB2312" w:hAnsi="Times New Roman" w:cs="Times New Roman"/>
          <w:b/>
          <w:sz w:val="40"/>
        </w:rPr>
      </w:pPr>
      <w:r w:rsidRPr="00344643">
        <w:rPr>
          <w:rFonts w:ascii="Times New Roman" w:eastAsia="楷体_GB2312" w:hAnsi="Times New Roman" w:cs="Times New Roman"/>
          <w:b/>
          <w:sz w:val="40"/>
        </w:rPr>
        <w:t>202</w:t>
      </w:r>
      <w:r w:rsidR="00392664">
        <w:rPr>
          <w:rFonts w:ascii="Times New Roman" w:eastAsia="楷体_GB2312" w:hAnsi="Times New Roman" w:cs="Times New Roman"/>
          <w:b/>
          <w:sz w:val="40"/>
        </w:rPr>
        <w:t>4</w:t>
      </w:r>
      <w:r w:rsidRPr="00344643">
        <w:rPr>
          <w:rFonts w:ascii="Times New Roman" w:eastAsia="楷体_GB2312" w:hAnsi="Times New Roman" w:cs="Times New Roman"/>
          <w:b/>
          <w:sz w:val="40"/>
        </w:rPr>
        <w:t>年</w:t>
      </w:r>
      <w:r w:rsidR="00392664">
        <w:rPr>
          <w:rFonts w:ascii="Times New Roman" w:eastAsia="楷体_GB2312" w:hAnsi="Times New Roman" w:cs="Times New Roman"/>
          <w:b/>
          <w:sz w:val="40"/>
        </w:rPr>
        <w:t>1</w:t>
      </w:r>
      <w:r w:rsidRPr="00344643">
        <w:rPr>
          <w:rFonts w:ascii="Times New Roman" w:eastAsia="楷体_GB2312" w:hAnsi="Times New Roman" w:cs="Times New Roman"/>
          <w:b/>
          <w:sz w:val="40"/>
        </w:rPr>
        <w:t>月</w:t>
      </w:r>
    </w:p>
    <w:p w14:paraId="07F25A2B" w14:textId="77777777" w:rsidR="00D067CC" w:rsidRDefault="00D067CC" w:rsidP="00D067CC">
      <w:pPr>
        <w:jc w:val="center"/>
        <w:rPr>
          <w:b/>
          <w:sz w:val="44"/>
        </w:rPr>
      </w:pPr>
    </w:p>
    <w:p w14:paraId="7779C5DC" w14:textId="77777777" w:rsidR="00D067CC" w:rsidRDefault="00D067CC" w:rsidP="00CE5A9B">
      <w:pPr>
        <w:jc w:val="center"/>
      </w:pPr>
    </w:p>
    <w:p w14:paraId="2DF70E66" w14:textId="49F078B3" w:rsidR="00F97C33" w:rsidRDefault="00F97C33" w:rsidP="00877959">
      <w:pPr>
        <w:spacing w:line="900" w:lineRule="exact"/>
        <w:jc w:val="center"/>
        <w:rPr>
          <w:rFonts w:ascii="Times New Roman" w:eastAsia="方正小标宋简体" w:hAnsi="Times New Roman" w:cs="Times New Roman"/>
          <w:bCs/>
          <w:kern w:val="44"/>
          <w:sz w:val="28"/>
          <w:szCs w:val="28"/>
        </w:rPr>
      </w:pPr>
    </w:p>
    <w:p w14:paraId="29534073" w14:textId="77777777" w:rsidR="00F97C33" w:rsidRDefault="00F97C33" w:rsidP="00877959">
      <w:pPr>
        <w:spacing w:line="900" w:lineRule="exact"/>
        <w:jc w:val="center"/>
        <w:rPr>
          <w:rFonts w:ascii="Times New Roman" w:eastAsia="方正小标宋简体" w:hAnsi="Times New Roman" w:cs="Times New Roman"/>
          <w:bCs/>
          <w:kern w:val="44"/>
          <w:sz w:val="28"/>
          <w:szCs w:val="28"/>
        </w:rPr>
      </w:pPr>
    </w:p>
    <w:p w14:paraId="2CD316C5" w14:textId="64812BE1" w:rsidR="00877959" w:rsidRPr="00877959" w:rsidRDefault="00AA7F24" w:rsidP="00AA7F24">
      <w:pPr>
        <w:widowControl/>
        <w:spacing w:afterLines="50" w:after="156"/>
        <w:jc w:val="center"/>
        <w:rPr>
          <w:rFonts w:ascii="仿宋" w:eastAsia="仿宋" w:hAnsi="仿宋" w:cs="Times New Roman"/>
          <w:b/>
          <w:bCs/>
          <w:kern w:val="44"/>
          <w:sz w:val="48"/>
          <w:szCs w:val="48"/>
        </w:rPr>
      </w:pPr>
      <w:r w:rsidRPr="00877959">
        <w:rPr>
          <w:rFonts w:ascii="Times New Roman" w:eastAsia="仿宋" w:hAnsi="Times New Roman" w:cs="Times New Roman"/>
          <w:b/>
          <w:bCs/>
          <w:kern w:val="44"/>
          <w:sz w:val="48"/>
          <w:szCs w:val="48"/>
        </w:rPr>
        <w:t>202</w:t>
      </w:r>
      <w:r w:rsidR="00392664">
        <w:rPr>
          <w:rFonts w:ascii="Times New Roman" w:eastAsia="仿宋" w:hAnsi="Times New Roman" w:cs="Times New Roman"/>
          <w:b/>
          <w:bCs/>
          <w:kern w:val="44"/>
          <w:sz w:val="48"/>
          <w:szCs w:val="48"/>
        </w:rPr>
        <w:t>3</w:t>
      </w:r>
      <w:r w:rsidRPr="00877959">
        <w:rPr>
          <w:rFonts w:ascii="仿宋" w:eastAsia="仿宋" w:hAnsi="仿宋" w:cs="Times New Roman"/>
          <w:b/>
          <w:bCs/>
          <w:kern w:val="44"/>
          <w:sz w:val="48"/>
          <w:szCs w:val="48"/>
        </w:rPr>
        <w:t>年浙江省排污单位</w:t>
      </w:r>
      <w:r w:rsidRPr="00877959">
        <w:rPr>
          <w:rFonts w:ascii="仿宋" w:eastAsia="仿宋" w:hAnsi="仿宋" w:cs="Times New Roman" w:hint="eastAsia"/>
          <w:b/>
          <w:bCs/>
          <w:kern w:val="44"/>
          <w:sz w:val="48"/>
          <w:szCs w:val="48"/>
        </w:rPr>
        <w:t>执法</w:t>
      </w:r>
      <w:r w:rsidRPr="00877959">
        <w:rPr>
          <w:rFonts w:ascii="仿宋" w:eastAsia="仿宋" w:hAnsi="仿宋" w:cs="Times New Roman"/>
          <w:b/>
          <w:bCs/>
          <w:kern w:val="44"/>
          <w:sz w:val="48"/>
          <w:szCs w:val="48"/>
        </w:rPr>
        <w:t>监测</w:t>
      </w:r>
    </w:p>
    <w:p w14:paraId="41695940" w14:textId="2FAA217A" w:rsidR="00AA7F24" w:rsidRPr="00877959" w:rsidRDefault="00AA7F24" w:rsidP="00AA7F24">
      <w:pPr>
        <w:widowControl/>
        <w:spacing w:afterLines="50" w:after="156"/>
        <w:jc w:val="center"/>
        <w:rPr>
          <w:rFonts w:ascii="仿宋" w:eastAsia="仿宋" w:hAnsi="仿宋" w:cs="Times New Roman"/>
          <w:b/>
          <w:bCs/>
          <w:kern w:val="44"/>
          <w:sz w:val="48"/>
          <w:szCs w:val="48"/>
        </w:rPr>
      </w:pPr>
      <w:r w:rsidRPr="00877959">
        <w:rPr>
          <w:rFonts w:ascii="仿宋" w:eastAsia="仿宋" w:hAnsi="仿宋" w:cs="Times New Roman"/>
          <w:b/>
          <w:bCs/>
          <w:kern w:val="44"/>
          <w:sz w:val="48"/>
          <w:szCs w:val="48"/>
        </w:rPr>
        <w:t>评价报告</w:t>
      </w:r>
    </w:p>
    <w:p w14:paraId="766B67E3" w14:textId="77777777" w:rsidR="00F97C33" w:rsidRPr="00F97C33" w:rsidRDefault="00F97C33" w:rsidP="00877959">
      <w:pPr>
        <w:spacing w:line="900" w:lineRule="exact"/>
        <w:jc w:val="center"/>
        <w:rPr>
          <w:rFonts w:ascii="Times New Roman" w:eastAsia="仿宋_GB2312" w:hAnsi="Times New Roman" w:cs="Times New Roman"/>
          <w:b/>
          <w:sz w:val="24"/>
          <w:szCs w:val="28"/>
        </w:rPr>
      </w:pPr>
    </w:p>
    <w:p w14:paraId="54961463" w14:textId="374599A9" w:rsidR="00AA7F24" w:rsidRPr="00877959" w:rsidRDefault="00AA7F24" w:rsidP="00877959">
      <w:pPr>
        <w:spacing w:line="900" w:lineRule="exact"/>
        <w:ind w:firstLineChars="265" w:firstLine="958"/>
        <w:jc w:val="left"/>
        <w:rPr>
          <w:rFonts w:ascii="Times New Roman" w:eastAsia="仿宋_GB2312" w:hAnsi="Times New Roman" w:cs="Times New Roman"/>
          <w:sz w:val="36"/>
          <w:szCs w:val="36"/>
        </w:rPr>
      </w:pPr>
      <w:r w:rsidRPr="00877959">
        <w:rPr>
          <w:rFonts w:ascii="Times New Roman" w:eastAsia="仿宋_GB2312" w:hAnsi="Times New Roman" w:cs="Times New Roman" w:hint="eastAsia"/>
          <w:b/>
          <w:sz w:val="36"/>
          <w:szCs w:val="36"/>
        </w:rPr>
        <w:t>编写人员</w:t>
      </w:r>
      <w:r w:rsidRPr="00877959">
        <w:rPr>
          <w:rFonts w:ascii="Times New Roman" w:eastAsia="仿宋_GB2312" w:hAnsi="Times New Roman" w:cs="Times New Roman" w:hint="eastAsia"/>
          <w:sz w:val="36"/>
          <w:szCs w:val="36"/>
        </w:rPr>
        <w:t>：俞丽丽</w:t>
      </w:r>
      <w:r w:rsidRPr="00877959">
        <w:rPr>
          <w:rFonts w:ascii="Times New Roman" w:eastAsia="仿宋_GB2312" w:hAnsi="Times New Roman" w:cs="Times New Roman" w:hint="eastAsia"/>
          <w:sz w:val="36"/>
          <w:szCs w:val="36"/>
        </w:rPr>
        <w:t xml:space="preserve"> </w:t>
      </w:r>
      <w:r w:rsidRPr="00877959">
        <w:rPr>
          <w:rFonts w:ascii="Times New Roman" w:eastAsia="仿宋_GB2312" w:hAnsi="Times New Roman" w:cs="Times New Roman"/>
          <w:sz w:val="36"/>
          <w:szCs w:val="36"/>
        </w:rPr>
        <w:t xml:space="preserve">  </w:t>
      </w:r>
      <w:r w:rsidRPr="00877959">
        <w:rPr>
          <w:rFonts w:ascii="Times New Roman" w:eastAsia="仿宋_GB2312" w:hAnsi="Times New Roman" w:cs="Times New Roman" w:hint="eastAsia"/>
          <w:sz w:val="36"/>
          <w:szCs w:val="36"/>
        </w:rPr>
        <w:t>边</w:t>
      </w:r>
      <w:r w:rsidRPr="00877959">
        <w:rPr>
          <w:rFonts w:ascii="Times New Roman" w:eastAsia="仿宋_GB2312" w:hAnsi="Times New Roman" w:cs="Times New Roman" w:hint="eastAsia"/>
          <w:sz w:val="36"/>
          <w:szCs w:val="36"/>
        </w:rPr>
        <w:t xml:space="preserve"> </w:t>
      </w:r>
      <w:r w:rsidRPr="00877959">
        <w:rPr>
          <w:rFonts w:ascii="Times New Roman" w:eastAsia="仿宋_GB2312" w:hAnsi="Times New Roman" w:cs="Times New Roman" w:hint="eastAsia"/>
          <w:sz w:val="36"/>
          <w:szCs w:val="36"/>
        </w:rPr>
        <w:t>境</w:t>
      </w:r>
    </w:p>
    <w:p w14:paraId="1BAAD2CA" w14:textId="479AFF64" w:rsidR="00F97C33" w:rsidRPr="00877959" w:rsidRDefault="00AA7F24" w:rsidP="00877959">
      <w:pPr>
        <w:spacing w:line="900" w:lineRule="exact"/>
        <w:ind w:firstLineChars="265" w:firstLine="958"/>
        <w:jc w:val="left"/>
        <w:rPr>
          <w:rFonts w:ascii="Times New Roman" w:eastAsia="仿宋_GB2312" w:hAnsi="Times New Roman" w:cs="Times New Roman"/>
          <w:sz w:val="36"/>
          <w:szCs w:val="36"/>
        </w:rPr>
      </w:pPr>
      <w:r w:rsidRPr="00877959">
        <w:rPr>
          <w:rFonts w:ascii="Times New Roman" w:eastAsia="仿宋_GB2312" w:hAnsi="Times New Roman" w:cs="Times New Roman" w:hint="eastAsia"/>
          <w:b/>
          <w:sz w:val="36"/>
          <w:szCs w:val="36"/>
        </w:rPr>
        <w:t>审</w:t>
      </w:r>
      <w:r w:rsidRPr="00877959">
        <w:rPr>
          <w:rFonts w:ascii="Times New Roman" w:eastAsia="仿宋_GB2312" w:hAnsi="Times New Roman" w:cs="Times New Roman" w:hint="eastAsia"/>
          <w:b/>
          <w:sz w:val="36"/>
          <w:szCs w:val="36"/>
        </w:rPr>
        <w:t xml:space="preserve"> </w:t>
      </w:r>
      <w:r w:rsidRPr="00877959">
        <w:rPr>
          <w:rFonts w:ascii="Times New Roman" w:eastAsia="仿宋_GB2312" w:hAnsi="Times New Roman" w:cs="Times New Roman"/>
          <w:b/>
          <w:sz w:val="36"/>
          <w:szCs w:val="36"/>
        </w:rPr>
        <w:t xml:space="preserve">   </w:t>
      </w:r>
      <w:r w:rsidRPr="00877959">
        <w:rPr>
          <w:rFonts w:ascii="Times New Roman" w:eastAsia="仿宋_GB2312" w:hAnsi="Times New Roman" w:cs="Times New Roman" w:hint="eastAsia"/>
          <w:b/>
          <w:sz w:val="36"/>
          <w:szCs w:val="36"/>
        </w:rPr>
        <w:t>核</w:t>
      </w:r>
      <w:r w:rsidRPr="00877959">
        <w:rPr>
          <w:rFonts w:ascii="Times New Roman" w:eastAsia="仿宋_GB2312" w:hAnsi="Times New Roman" w:cs="Times New Roman" w:hint="eastAsia"/>
          <w:sz w:val="36"/>
          <w:szCs w:val="36"/>
        </w:rPr>
        <w:t>：</w:t>
      </w:r>
      <w:r w:rsidR="00392664">
        <w:rPr>
          <w:rFonts w:ascii="Times New Roman" w:eastAsia="仿宋_GB2312" w:hAnsi="Times New Roman" w:cs="Times New Roman" w:hint="eastAsia"/>
          <w:sz w:val="36"/>
          <w:szCs w:val="36"/>
        </w:rPr>
        <w:t>楼振纲</w:t>
      </w:r>
    </w:p>
    <w:p w14:paraId="377D723D" w14:textId="43BB9574" w:rsidR="00AA7F24" w:rsidRPr="00877959" w:rsidRDefault="00AA7F24" w:rsidP="00877959">
      <w:pPr>
        <w:spacing w:line="900" w:lineRule="exact"/>
        <w:ind w:firstLineChars="265" w:firstLine="958"/>
        <w:rPr>
          <w:rFonts w:ascii="Times New Roman" w:eastAsia="仿宋_GB2312" w:hAnsi="Times New Roman" w:cs="Times New Roman"/>
          <w:sz w:val="36"/>
          <w:szCs w:val="36"/>
        </w:rPr>
      </w:pPr>
      <w:r w:rsidRPr="00877959">
        <w:rPr>
          <w:rFonts w:ascii="Times New Roman" w:eastAsia="仿宋_GB2312" w:hAnsi="Times New Roman" w:cs="Times New Roman" w:hint="eastAsia"/>
          <w:b/>
          <w:sz w:val="36"/>
          <w:szCs w:val="36"/>
        </w:rPr>
        <w:t>审</w:t>
      </w:r>
      <w:r w:rsidRPr="00877959">
        <w:rPr>
          <w:rFonts w:ascii="Times New Roman" w:eastAsia="仿宋_GB2312" w:hAnsi="Times New Roman" w:cs="Times New Roman" w:hint="eastAsia"/>
          <w:b/>
          <w:sz w:val="36"/>
          <w:szCs w:val="36"/>
        </w:rPr>
        <w:t xml:space="preserve"> </w:t>
      </w:r>
      <w:r w:rsidRPr="00877959">
        <w:rPr>
          <w:rFonts w:ascii="Times New Roman" w:eastAsia="仿宋_GB2312" w:hAnsi="Times New Roman" w:cs="Times New Roman"/>
          <w:b/>
          <w:sz w:val="36"/>
          <w:szCs w:val="36"/>
        </w:rPr>
        <w:t xml:space="preserve">   </w:t>
      </w:r>
      <w:r w:rsidRPr="00877959">
        <w:rPr>
          <w:rFonts w:ascii="Times New Roman" w:eastAsia="仿宋_GB2312" w:hAnsi="Times New Roman" w:cs="Times New Roman" w:hint="eastAsia"/>
          <w:b/>
          <w:sz w:val="36"/>
          <w:szCs w:val="36"/>
        </w:rPr>
        <w:t>定</w:t>
      </w:r>
      <w:r w:rsidRPr="00877959">
        <w:rPr>
          <w:rFonts w:ascii="Times New Roman" w:eastAsia="仿宋_GB2312" w:hAnsi="Times New Roman" w:cs="Times New Roman" w:hint="eastAsia"/>
          <w:sz w:val="36"/>
          <w:szCs w:val="36"/>
        </w:rPr>
        <w:t>：</w:t>
      </w:r>
      <w:r w:rsidR="00392664">
        <w:rPr>
          <w:rFonts w:ascii="Times New Roman" w:eastAsia="仿宋_GB2312" w:hAnsi="Times New Roman" w:cs="Times New Roman" w:hint="eastAsia"/>
          <w:sz w:val="36"/>
          <w:szCs w:val="36"/>
        </w:rPr>
        <w:t>田旭东</w:t>
      </w:r>
    </w:p>
    <w:p w14:paraId="655CDD78" w14:textId="77777777" w:rsidR="00AA7F24" w:rsidRDefault="00AA7F24" w:rsidP="00877959">
      <w:pPr>
        <w:spacing w:line="900" w:lineRule="exact"/>
        <w:ind w:firstLineChars="265" w:firstLine="556"/>
      </w:pPr>
      <w:r>
        <w:br w:type="page"/>
      </w:r>
    </w:p>
    <w:p w14:paraId="504B71B2" w14:textId="75A8BCB8" w:rsidR="00D067CC" w:rsidRDefault="00D067CC" w:rsidP="001D68F7">
      <w:pPr>
        <w:pStyle w:val="21"/>
      </w:pPr>
      <w:r w:rsidRPr="00D704A2">
        <w:rPr>
          <w:rFonts w:hint="eastAsia"/>
        </w:rPr>
        <w:lastRenderedPageBreak/>
        <w:t>概</w:t>
      </w:r>
      <w:r w:rsidRPr="00D704A2">
        <w:t xml:space="preserve">    </w:t>
      </w:r>
      <w:r w:rsidRPr="00D704A2">
        <w:rPr>
          <w:rFonts w:hint="eastAsia"/>
        </w:rPr>
        <w:t>述</w:t>
      </w:r>
    </w:p>
    <w:p w14:paraId="79558F01" w14:textId="77777777" w:rsidR="00D067CC" w:rsidRDefault="00D067CC" w:rsidP="00D067CC">
      <w:pPr>
        <w:spacing w:line="560" w:lineRule="exact"/>
        <w:ind w:firstLineChars="250" w:firstLine="700"/>
        <w:rPr>
          <w:rFonts w:eastAsia="仿宋_GB2312"/>
          <w:sz w:val="28"/>
          <w:szCs w:val="28"/>
        </w:rPr>
      </w:pPr>
    </w:p>
    <w:p w14:paraId="1F66221E" w14:textId="2736C2BF" w:rsidR="00B84208" w:rsidRPr="00D52753" w:rsidRDefault="00B84208" w:rsidP="00B84208">
      <w:pPr>
        <w:spacing w:line="560" w:lineRule="exact"/>
        <w:ind w:firstLineChars="200" w:firstLine="560"/>
        <w:rPr>
          <w:rFonts w:ascii="Times New Roman" w:eastAsia="仿宋_GB2312" w:hAnsi="Times New Roman" w:cs="Times New Roman"/>
          <w:bCs/>
          <w:kern w:val="44"/>
          <w:sz w:val="28"/>
          <w:szCs w:val="28"/>
        </w:rPr>
      </w:pPr>
      <w:r w:rsidRPr="00D52753">
        <w:rPr>
          <w:rFonts w:ascii="Times New Roman" w:eastAsia="仿宋_GB2312" w:hAnsi="Times New Roman" w:cs="Times New Roman"/>
          <w:bCs/>
          <w:kern w:val="44"/>
          <w:sz w:val="28"/>
          <w:szCs w:val="28"/>
        </w:rPr>
        <w:t>2023</w:t>
      </w:r>
      <w:r w:rsidRPr="00D52753">
        <w:rPr>
          <w:rFonts w:ascii="Times New Roman" w:eastAsia="仿宋_GB2312" w:hAnsi="Times New Roman" w:cs="Times New Roman"/>
          <w:bCs/>
          <w:kern w:val="44"/>
          <w:sz w:val="28"/>
          <w:szCs w:val="28"/>
        </w:rPr>
        <w:t>年，全省共</w:t>
      </w:r>
      <w:r w:rsidRPr="00D52753">
        <w:rPr>
          <w:rFonts w:ascii="Times New Roman" w:eastAsia="仿宋_GB2312" w:hAnsi="Times New Roman" w:cs="Times New Roman" w:hint="eastAsia"/>
          <w:bCs/>
          <w:kern w:val="44"/>
          <w:sz w:val="28"/>
          <w:szCs w:val="28"/>
        </w:rPr>
        <w:t>对</w:t>
      </w:r>
      <w:r w:rsidRPr="00D52753">
        <w:rPr>
          <w:rFonts w:ascii="Times New Roman" w:eastAsia="仿宋_GB2312" w:hAnsi="Times New Roman" w:cs="Times New Roman"/>
          <w:bCs/>
          <w:kern w:val="44"/>
          <w:sz w:val="28"/>
          <w:szCs w:val="28"/>
        </w:rPr>
        <w:t>3543</w:t>
      </w:r>
      <w:r w:rsidRPr="00D52753">
        <w:rPr>
          <w:rFonts w:ascii="Times New Roman" w:eastAsia="仿宋_GB2312" w:hAnsi="Times New Roman" w:cs="Times New Roman"/>
          <w:bCs/>
          <w:kern w:val="44"/>
          <w:sz w:val="28"/>
          <w:szCs w:val="28"/>
        </w:rPr>
        <w:t>家排污单位</w:t>
      </w:r>
      <w:r w:rsidRPr="00D52753">
        <w:rPr>
          <w:rFonts w:ascii="Times New Roman" w:eastAsia="仿宋_GB2312" w:hAnsi="Times New Roman" w:cs="Times New Roman" w:hint="eastAsia"/>
          <w:bCs/>
          <w:kern w:val="44"/>
          <w:sz w:val="28"/>
          <w:szCs w:val="28"/>
        </w:rPr>
        <w:t>开展了</w:t>
      </w:r>
      <w:r w:rsidRPr="00D52753">
        <w:rPr>
          <w:rFonts w:ascii="Times New Roman" w:eastAsia="仿宋_GB2312" w:hAnsi="Times New Roman" w:cs="Times New Roman"/>
          <w:bCs/>
          <w:kern w:val="44"/>
          <w:sz w:val="28"/>
          <w:szCs w:val="28"/>
        </w:rPr>
        <w:t>6244</w:t>
      </w:r>
      <w:r w:rsidRPr="00D52753">
        <w:rPr>
          <w:rFonts w:ascii="Times New Roman" w:eastAsia="仿宋_GB2312" w:hAnsi="Times New Roman" w:cs="Times New Roman" w:hint="eastAsia"/>
          <w:bCs/>
          <w:kern w:val="44"/>
          <w:sz w:val="28"/>
          <w:szCs w:val="28"/>
        </w:rPr>
        <w:t>次监测。</w:t>
      </w:r>
      <w:r w:rsidRPr="00D52753">
        <w:rPr>
          <w:rFonts w:ascii="Times New Roman" w:eastAsia="仿宋_GB2312" w:hAnsi="Times New Roman" w:cs="Times New Roman"/>
          <w:bCs/>
          <w:kern w:val="44"/>
          <w:sz w:val="28"/>
          <w:szCs w:val="28"/>
        </w:rPr>
        <w:t>其中</w:t>
      </w:r>
      <w:r w:rsidRPr="00D52753">
        <w:rPr>
          <w:rFonts w:ascii="Times New Roman" w:eastAsia="仿宋_GB2312" w:hAnsi="Times New Roman" w:cs="Times New Roman" w:hint="eastAsia"/>
          <w:bCs/>
          <w:kern w:val="44"/>
          <w:sz w:val="28"/>
          <w:szCs w:val="28"/>
        </w:rPr>
        <w:t>废水排污单位</w:t>
      </w:r>
      <w:r w:rsidRPr="00D52753">
        <w:rPr>
          <w:rFonts w:ascii="Times New Roman" w:eastAsia="仿宋_GB2312" w:hAnsi="Times New Roman" w:cs="Times New Roman"/>
          <w:bCs/>
          <w:kern w:val="44"/>
          <w:sz w:val="28"/>
          <w:szCs w:val="28"/>
        </w:rPr>
        <w:t>1763</w:t>
      </w:r>
      <w:r w:rsidRPr="00D52753">
        <w:rPr>
          <w:rFonts w:ascii="Times New Roman" w:eastAsia="仿宋_GB2312" w:hAnsi="Times New Roman" w:cs="Times New Roman"/>
          <w:bCs/>
          <w:kern w:val="44"/>
          <w:sz w:val="28"/>
          <w:szCs w:val="28"/>
        </w:rPr>
        <w:t>家（包含</w:t>
      </w:r>
      <w:r w:rsidR="002E376F">
        <w:rPr>
          <w:rFonts w:ascii="Times New Roman" w:eastAsia="仿宋_GB2312" w:hAnsi="Times New Roman" w:cs="Times New Roman" w:hint="eastAsia"/>
          <w:bCs/>
          <w:kern w:val="44"/>
          <w:sz w:val="28"/>
          <w:szCs w:val="28"/>
        </w:rPr>
        <w:t>涉</w:t>
      </w:r>
      <w:r w:rsidRPr="00D52753">
        <w:rPr>
          <w:rFonts w:ascii="Times New Roman" w:eastAsia="仿宋_GB2312" w:hAnsi="Times New Roman" w:cs="Times New Roman"/>
          <w:bCs/>
          <w:kern w:val="44"/>
          <w:sz w:val="28"/>
          <w:szCs w:val="28"/>
        </w:rPr>
        <w:t>重金属</w:t>
      </w:r>
      <w:r w:rsidR="002E376F">
        <w:rPr>
          <w:rFonts w:ascii="Times New Roman" w:eastAsia="仿宋_GB2312" w:hAnsi="Times New Roman" w:cs="Times New Roman" w:hint="eastAsia"/>
          <w:bCs/>
          <w:kern w:val="44"/>
          <w:sz w:val="28"/>
          <w:szCs w:val="28"/>
        </w:rPr>
        <w:t>企业</w:t>
      </w:r>
      <w:r w:rsidRPr="00D52753">
        <w:rPr>
          <w:rFonts w:ascii="Times New Roman" w:eastAsia="仿宋_GB2312" w:hAnsi="Times New Roman" w:cs="Times New Roman"/>
          <w:bCs/>
          <w:kern w:val="44"/>
          <w:sz w:val="28"/>
          <w:szCs w:val="28"/>
        </w:rPr>
        <w:t>680</w:t>
      </w:r>
      <w:r w:rsidRPr="00D52753">
        <w:rPr>
          <w:rFonts w:ascii="Times New Roman" w:eastAsia="仿宋_GB2312" w:hAnsi="Times New Roman" w:cs="Times New Roman"/>
          <w:bCs/>
          <w:kern w:val="44"/>
          <w:sz w:val="28"/>
          <w:szCs w:val="28"/>
        </w:rPr>
        <w:t>家、生活垃圾焚烧厂</w:t>
      </w:r>
      <w:r w:rsidRPr="00D52753">
        <w:rPr>
          <w:rFonts w:ascii="Times New Roman" w:eastAsia="仿宋_GB2312" w:hAnsi="Times New Roman" w:cs="Times New Roman"/>
          <w:bCs/>
          <w:kern w:val="44"/>
          <w:sz w:val="28"/>
          <w:szCs w:val="28"/>
        </w:rPr>
        <w:t>45</w:t>
      </w:r>
      <w:r w:rsidRPr="00D52753">
        <w:rPr>
          <w:rFonts w:ascii="Times New Roman" w:eastAsia="仿宋_GB2312" w:hAnsi="Times New Roman" w:cs="Times New Roman"/>
          <w:bCs/>
          <w:kern w:val="44"/>
          <w:sz w:val="28"/>
          <w:szCs w:val="28"/>
        </w:rPr>
        <w:t>家、生活垃圾填埋场</w:t>
      </w:r>
      <w:r w:rsidRPr="00D52753">
        <w:rPr>
          <w:rFonts w:ascii="Times New Roman" w:eastAsia="仿宋_GB2312" w:hAnsi="Times New Roman" w:cs="Times New Roman"/>
          <w:bCs/>
          <w:kern w:val="44"/>
          <w:sz w:val="28"/>
          <w:szCs w:val="28"/>
        </w:rPr>
        <w:t>81</w:t>
      </w:r>
      <w:r w:rsidRPr="00D52753">
        <w:rPr>
          <w:rFonts w:ascii="Times New Roman" w:eastAsia="仿宋_GB2312" w:hAnsi="Times New Roman" w:cs="Times New Roman"/>
          <w:bCs/>
          <w:kern w:val="44"/>
          <w:sz w:val="28"/>
          <w:szCs w:val="28"/>
        </w:rPr>
        <w:t>家</w:t>
      </w:r>
      <w:r w:rsidRPr="00D52753">
        <w:rPr>
          <w:rFonts w:ascii="Times New Roman" w:eastAsia="仿宋_GB2312" w:hAnsi="Times New Roman" w:cs="Times New Roman" w:hint="eastAsia"/>
          <w:bCs/>
          <w:kern w:val="44"/>
          <w:sz w:val="28"/>
          <w:szCs w:val="28"/>
        </w:rPr>
        <w:t>等</w:t>
      </w:r>
      <w:r w:rsidRPr="00D52753">
        <w:rPr>
          <w:rFonts w:ascii="Times New Roman" w:eastAsia="仿宋_GB2312" w:hAnsi="Times New Roman" w:cs="Times New Roman"/>
          <w:bCs/>
          <w:kern w:val="44"/>
          <w:sz w:val="28"/>
          <w:szCs w:val="28"/>
        </w:rPr>
        <w:t>）、集中式污水处理厂</w:t>
      </w:r>
      <w:r w:rsidRPr="00D52753">
        <w:rPr>
          <w:rFonts w:ascii="Times New Roman" w:eastAsia="仿宋_GB2312" w:hAnsi="Times New Roman" w:cs="Times New Roman"/>
          <w:bCs/>
          <w:kern w:val="44"/>
          <w:sz w:val="28"/>
          <w:szCs w:val="28"/>
        </w:rPr>
        <w:t>386</w:t>
      </w:r>
      <w:r w:rsidRPr="00D52753">
        <w:rPr>
          <w:rFonts w:ascii="Times New Roman" w:eastAsia="仿宋_GB2312" w:hAnsi="Times New Roman" w:cs="Times New Roman"/>
          <w:bCs/>
          <w:kern w:val="44"/>
          <w:sz w:val="28"/>
          <w:szCs w:val="28"/>
        </w:rPr>
        <w:t>家、</w:t>
      </w:r>
      <w:r w:rsidRPr="00D52753">
        <w:rPr>
          <w:rFonts w:ascii="Times New Roman" w:eastAsia="仿宋_GB2312" w:hAnsi="Times New Roman" w:cs="Times New Roman" w:hint="eastAsia"/>
          <w:bCs/>
          <w:kern w:val="44"/>
          <w:sz w:val="28"/>
          <w:szCs w:val="28"/>
        </w:rPr>
        <w:t>废气排污单位</w:t>
      </w:r>
      <w:r w:rsidRPr="00D52753">
        <w:rPr>
          <w:rFonts w:ascii="Times New Roman" w:eastAsia="仿宋_GB2312" w:hAnsi="Times New Roman" w:cs="Times New Roman"/>
          <w:bCs/>
          <w:kern w:val="44"/>
          <w:sz w:val="28"/>
          <w:szCs w:val="28"/>
        </w:rPr>
        <w:t>1394</w:t>
      </w:r>
      <w:r w:rsidRPr="00D52753">
        <w:rPr>
          <w:rFonts w:ascii="Times New Roman" w:eastAsia="仿宋_GB2312" w:hAnsi="Times New Roman" w:cs="Times New Roman"/>
          <w:bCs/>
          <w:kern w:val="44"/>
          <w:sz w:val="28"/>
          <w:szCs w:val="28"/>
        </w:rPr>
        <w:t>家（包含</w:t>
      </w:r>
      <w:r w:rsidR="002E376F">
        <w:rPr>
          <w:rFonts w:ascii="Times New Roman" w:eastAsia="仿宋_GB2312" w:hAnsi="Times New Roman" w:cs="Times New Roman" w:hint="eastAsia"/>
          <w:bCs/>
          <w:kern w:val="44"/>
          <w:sz w:val="28"/>
          <w:szCs w:val="28"/>
        </w:rPr>
        <w:t>涉</w:t>
      </w:r>
      <w:r w:rsidRPr="00D52753">
        <w:rPr>
          <w:rFonts w:ascii="Times New Roman" w:eastAsia="仿宋_GB2312" w:hAnsi="Times New Roman" w:cs="Times New Roman"/>
          <w:bCs/>
          <w:kern w:val="44"/>
          <w:sz w:val="28"/>
          <w:szCs w:val="28"/>
        </w:rPr>
        <w:t>重金属</w:t>
      </w:r>
      <w:r w:rsidR="002E376F">
        <w:rPr>
          <w:rFonts w:ascii="Times New Roman" w:eastAsia="仿宋_GB2312" w:hAnsi="Times New Roman" w:cs="Times New Roman" w:hint="eastAsia"/>
          <w:bCs/>
          <w:kern w:val="44"/>
          <w:sz w:val="28"/>
          <w:szCs w:val="28"/>
        </w:rPr>
        <w:t>企业</w:t>
      </w:r>
      <w:r w:rsidRPr="00D52753">
        <w:rPr>
          <w:rFonts w:ascii="Times New Roman" w:eastAsia="仿宋_GB2312" w:hAnsi="Times New Roman" w:cs="Times New Roman"/>
          <w:bCs/>
          <w:kern w:val="44"/>
          <w:sz w:val="28"/>
          <w:szCs w:val="28"/>
        </w:rPr>
        <w:t>365</w:t>
      </w:r>
      <w:r w:rsidRPr="00D52753">
        <w:rPr>
          <w:rFonts w:ascii="Times New Roman" w:eastAsia="仿宋_GB2312" w:hAnsi="Times New Roman" w:cs="Times New Roman"/>
          <w:bCs/>
          <w:kern w:val="44"/>
          <w:sz w:val="28"/>
          <w:szCs w:val="28"/>
        </w:rPr>
        <w:t>家、生活垃圾焚烧厂</w:t>
      </w:r>
      <w:r w:rsidRPr="00D52753">
        <w:rPr>
          <w:rFonts w:ascii="Times New Roman" w:eastAsia="仿宋_GB2312" w:hAnsi="Times New Roman" w:cs="Times New Roman"/>
          <w:bCs/>
          <w:kern w:val="44"/>
          <w:sz w:val="28"/>
          <w:szCs w:val="28"/>
        </w:rPr>
        <w:t>84</w:t>
      </w:r>
      <w:r w:rsidRPr="00D52753">
        <w:rPr>
          <w:rFonts w:ascii="Times New Roman" w:eastAsia="仿宋_GB2312" w:hAnsi="Times New Roman" w:cs="Times New Roman"/>
          <w:bCs/>
          <w:kern w:val="44"/>
          <w:sz w:val="28"/>
          <w:szCs w:val="28"/>
        </w:rPr>
        <w:t>家、生活垃圾填埋场</w:t>
      </w:r>
      <w:r w:rsidRPr="00D52753">
        <w:rPr>
          <w:rFonts w:ascii="Times New Roman" w:eastAsia="仿宋_GB2312" w:hAnsi="Times New Roman" w:cs="Times New Roman"/>
          <w:bCs/>
          <w:kern w:val="44"/>
          <w:sz w:val="28"/>
          <w:szCs w:val="28"/>
        </w:rPr>
        <w:t>40</w:t>
      </w:r>
      <w:r w:rsidRPr="00D52753">
        <w:rPr>
          <w:rFonts w:ascii="Times New Roman" w:eastAsia="仿宋_GB2312" w:hAnsi="Times New Roman" w:cs="Times New Roman"/>
          <w:bCs/>
          <w:kern w:val="44"/>
          <w:sz w:val="28"/>
          <w:szCs w:val="28"/>
        </w:rPr>
        <w:t>家</w:t>
      </w:r>
      <w:r w:rsidRPr="00D52753">
        <w:rPr>
          <w:rFonts w:ascii="Times New Roman" w:eastAsia="仿宋_GB2312" w:hAnsi="Times New Roman" w:cs="Times New Roman" w:hint="eastAsia"/>
          <w:bCs/>
          <w:kern w:val="44"/>
          <w:sz w:val="28"/>
          <w:szCs w:val="28"/>
        </w:rPr>
        <w:t>等</w:t>
      </w:r>
      <w:r w:rsidRPr="00D52753">
        <w:rPr>
          <w:rFonts w:ascii="Times New Roman" w:eastAsia="仿宋_GB2312" w:hAnsi="Times New Roman" w:cs="Times New Roman"/>
          <w:bCs/>
          <w:kern w:val="44"/>
          <w:sz w:val="28"/>
          <w:szCs w:val="28"/>
        </w:rPr>
        <w:t>）。</w:t>
      </w:r>
      <w:r w:rsidRPr="00D52753">
        <w:rPr>
          <w:rFonts w:ascii="Times New Roman" w:eastAsia="仿宋_GB2312" w:hAnsi="Times New Roman" w:cs="Times New Roman" w:hint="eastAsia"/>
          <w:bCs/>
          <w:kern w:val="44"/>
          <w:sz w:val="28"/>
          <w:szCs w:val="28"/>
        </w:rPr>
        <w:t>另对</w:t>
      </w:r>
      <w:r w:rsidRPr="00D52753">
        <w:rPr>
          <w:rFonts w:ascii="Times New Roman" w:eastAsia="仿宋_GB2312" w:hAnsi="Times New Roman" w:cs="Times New Roman"/>
          <w:bCs/>
          <w:kern w:val="44"/>
          <w:sz w:val="28"/>
          <w:szCs w:val="28"/>
        </w:rPr>
        <w:t>20</w:t>
      </w:r>
      <w:r w:rsidRPr="00D52753">
        <w:rPr>
          <w:rFonts w:ascii="Times New Roman" w:eastAsia="仿宋_GB2312" w:hAnsi="Times New Roman" w:cs="Times New Roman" w:hint="eastAsia"/>
          <w:bCs/>
          <w:kern w:val="44"/>
          <w:sz w:val="28"/>
          <w:szCs w:val="28"/>
        </w:rPr>
        <w:t>座尾矿库尾水排放开展了监测。</w:t>
      </w:r>
    </w:p>
    <w:p w14:paraId="438D7C1D" w14:textId="0981ACE5" w:rsidR="00B02E28" w:rsidRPr="003B6701" w:rsidRDefault="00B02E28" w:rsidP="00B02E28">
      <w:pPr>
        <w:spacing w:line="560" w:lineRule="exact"/>
        <w:ind w:firstLineChars="200" w:firstLine="560"/>
        <w:rPr>
          <w:rFonts w:eastAsia="仿宋_GB2312"/>
          <w:sz w:val="28"/>
          <w:szCs w:val="28"/>
        </w:rPr>
      </w:pPr>
      <w:r>
        <w:rPr>
          <w:rFonts w:ascii="Times New Roman" w:eastAsia="仿宋_GB2312" w:hAnsi="Times New Roman" w:cs="Times New Roman"/>
          <w:sz w:val="28"/>
          <w:szCs w:val="28"/>
        </w:rPr>
        <w:t>1763</w:t>
      </w:r>
      <w:r>
        <w:rPr>
          <w:rFonts w:eastAsia="仿宋_GB2312" w:hint="eastAsia"/>
          <w:sz w:val="28"/>
          <w:szCs w:val="28"/>
        </w:rPr>
        <w:t>家废水排污单位</w:t>
      </w:r>
      <w:r w:rsidR="002E376F">
        <w:rPr>
          <w:rFonts w:eastAsia="仿宋_GB2312" w:hint="eastAsia"/>
          <w:sz w:val="28"/>
          <w:szCs w:val="28"/>
        </w:rPr>
        <w:t>执法</w:t>
      </w:r>
      <w:r>
        <w:rPr>
          <w:rFonts w:eastAsia="仿宋_GB2312" w:hint="eastAsia"/>
          <w:sz w:val="28"/>
          <w:szCs w:val="28"/>
        </w:rPr>
        <w:t>监测总体</w:t>
      </w:r>
      <w:r w:rsidRPr="00315A59">
        <w:rPr>
          <w:rFonts w:eastAsia="仿宋_GB2312"/>
          <w:sz w:val="28"/>
          <w:szCs w:val="28"/>
        </w:rPr>
        <w:t>达标率为</w:t>
      </w:r>
      <w:r w:rsidRPr="00315A59">
        <w:rPr>
          <w:rFonts w:ascii="Times New Roman" w:eastAsia="仿宋_GB2312" w:hAnsi="Times New Roman" w:cs="Times New Roman"/>
          <w:sz w:val="28"/>
          <w:szCs w:val="28"/>
        </w:rPr>
        <w:t>9</w:t>
      </w:r>
      <w:r>
        <w:rPr>
          <w:rFonts w:ascii="Times New Roman" w:eastAsia="仿宋_GB2312" w:hAnsi="Times New Roman" w:cs="Times New Roman"/>
          <w:sz w:val="28"/>
          <w:szCs w:val="28"/>
        </w:rPr>
        <w:t>9.2</w:t>
      </w:r>
      <w:r w:rsidRPr="00315A59">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，较上年</w:t>
      </w:r>
      <w:r>
        <w:rPr>
          <w:rFonts w:ascii="Times New Roman" w:eastAsia="仿宋_GB2312" w:hAnsi="Times New Roman" w:cs="Times New Roman" w:hint="eastAsia"/>
          <w:bCs/>
          <w:kern w:val="44"/>
          <w:sz w:val="28"/>
          <w:szCs w:val="28"/>
        </w:rPr>
        <w:t>上升</w:t>
      </w:r>
      <w:r>
        <w:rPr>
          <w:rFonts w:ascii="Times New Roman" w:eastAsia="仿宋_GB2312" w:hAnsi="Times New Roman" w:cs="Times New Roman"/>
          <w:bCs/>
          <w:kern w:val="44"/>
          <w:sz w:val="28"/>
          <w:szCs w:val="28"/>
        </w:rPr>
        <w:t>2.3</w:t>
      </w:r>
      <w:r w:rsidRPr="00F70D6C">
        <w:rPr>
          <w:rFonts w:ascii="Times New Roman" w:eastAsia="仿宋_GB2312" w:hAnsi="Times New Roman" w:cs="Times New Roman" w:hint="eastAsia"/>
          <w:bCs/>
          <w:kern w:val="44"/>
          <w:sz w:val="28"/>
          <w:szCs w:val="28"/>
        </w:rPr>
        <w:t>个百分点</w:t>
      </w:r>
      <w:r>
        <w:rPr>
          <w:rFonts w:ascii="Times New Roman" w:eastAsia="仿宋_GB2312" w:hAnsi="Times New Roman" w:cs="Times New Roman" w:hint="eastAsia"/>
          <w:bCs/>
          <w:kern w:val="44"/>
          <w:sz w:val="28"/>
          <w:szCs w:val="28"/>
        </w:rPr>
        <w:t>。</w:t>
      </w:r>
      <w:r w:rsidRPr="003B6701">
        <w:rPr>
          <w:rFonts w:eastAsia="仿宋_GB2312"/>
          <w:sz w:val="28"/>
          <w:szCs w:val="28"/>
        </w:rPr>
        <w:t>达标率最高的设区市为</w:t>
      </w:r>
      <w:r>
        <w:rPr>
          <w:rFonts w:eastAsia="仿宋_GB2312" w:hint="eastAsia"/>
          <w:sz w:val="28"/>
          <w:szCs w:val="28"/>
        </w:rPr>
        <w:t>宁波、金华、舟山和丽水，均为</w:t>
      </w:r>
      <w:r w:rsidRPr="00961B26">
        <w:rPr>
          <w:rFonts w:ascii="Times New Roman" w:eastAsia="仿宋_GB2312" w:hAnsi="Times New Roman" w:cs="Times New Roman"/>
          <w:sz w:val="28"/>
          <w:szCs w:val="28"/>
        </w:rPr>
        <w:t>100%</w:t>
      </w:r>
      <w:r>
        <w:rPr>
          <w:rFonts w:eastAsia="仿宋_GB2312" w:hint="eastAsia"/>
          <w:sz w:val="28"/>
          <w:szCs w:val="28"/>
        </w:rPr>
        <w:t>；</w:t>
      </w:r>
      <w:r w:rsidRPr="003B6701">
        <w:rPr>
          <w:rFonts w:eastAsia="仿宋_GB2312"/>
          <w:sz w:val="28"/>
          <w:szCs w:val="28"/>
        </w:rPr>
        <w:t>最低的为</w:t>
      </w:r>
      <w:r>
        <w:rPr>
          <w:rFonts w:eastAsia="仿宋_GB2312" w:hint="eastAsia"/>
          <w:sz w:val="28"/>
          <w:szCs w:val="28"/>
        </w:rPr>
        <w:t>杭州</w:t>
      </w:r>
      <w:r>
        <w:rPr>
          <w:rFonts w:eastAsia="仿宋_GB2312"/>
          <w:sz w:val="28"/>
          <w:szCs w:val="28"/>
        </w:rPr>
        <w:t>（</w:t>
      </w:r>
      <w:r>
        <w:rPr>
          <w:rFonts w:ascii="Times New Roman" w:eastAsia="仿宋_GB2312" w:hAnsi="Times New Roman" w:cs="Times New Roman"/>
          <w:sz w:val="28"/>
          <w:szCs w:val="28"/>
        </w:rPr>
        <w:t>98.3</w:t>
      </w:r>
      <w:r>
        <w:rPr>
          <w:rFonts w:eastAsia="仿宋_GB2312" w:hint="eastAsia"/>
          <w:sz w:val="28"/>
          <w:szCs w:val="28"/>
        </w:rPr>
        <w:t>%</w:t>
      </w:r>
      <w:r>
        <w:rPr>
          <w:rFonts w:eastAsia="仿宋_GB2312"/>
          <w:sz w:val="28"/>
          <w:szCs w:val="28"/>
        </w:rPr>
        <w:t>）</w:t>
      </w:r>
      <w:r w:rsidRPr="003B6701">
        <w:rPr>
          <w:rFonts w:eastAsia="仿宋_GB2312"/>
          <w:sz w:val="28"/>
          <w:szCs w:val="28"/>
        </w:rPr>
        <w:t>。主要超标行业为纺织业</w:t>
      </w:r>
      <w:r w:rsidR="00D428D0">
        <w:rPr>
          <w:rFonts w:eastAsia="仿宋_GB2312" w:hint="eastAsia"/>
          <w:sz w:val="28"/>
          <w:szCs w:val="28"/>
        </w:rPr>
        <w:t>等</w:t>
      </w:r>
      <w:r w:rsidRPr="003B6701">
        <w:rPr>
          <w:rFonts w:eastAsia="仿宋_GB2312" w:hint="eastAsia"/>
          <w:sz w:val="28"/>
          <w:szCs w:val="28"/>
        </w:rPr>
        <w:t>；</w:t>
      </w:r>
      <w:r w:rsidRPr="003B6701">
        <w:rPr>
          <w:rFonts w:eastAsia="仿宋_GB2312"/>
          <w:sz w:val="28"/>
          <w:szCs w:val="28"/>
        </w:rPr>
        <w:t>主要超标指标为</w:t>
      </w:r>
      <w:r>
        <w:rPr>
          <w:rFonts w:eastAsia="仿宋_GB2312" w:hint="eastAsia"/>
          <w:sz w:val="28"/>
          <w:szCs w:val="28"/>
        </w:rPr>
        <w:t>化学需氧量、总氮和总锑</w:t>
      </w:r>
      <w:r w:rsidR="00D428D0">
        <w:rPr>
          <w:rFonts w:eastAsia="仿宋_GB2312" w:hint="eastAsia"/>
          <w:sz w:val="28"/>
          <w:szCs w:val="28"/>
        </w:rPr>
        <w:t>等</w:t>
      </w:r>
      <w:r w:rsidRPr="003B6701">
        <w:rPr>
          <w:rFonts w:eastAsia="仿宋_GB2312"/>
          <w:sz w:val="28"/>
          <w:szCs w:val="28"/>
        </w:rPr>
        <w:t>。</w:t>
      </w:r>
    </w:p>
    <w:p w14:paraId="25DF4F63" w14:textId="27D987A6" w:rsidR="00B02E28" w:rsidRPr="0012370F" w:rsidRDefault="00B02E28" w:rsidP="00B02E28">
      <w:pPr>
        <w:spacing w:line="560" w:lineRule="exact"/>
        <w:ind w:firstLineChars="200" w:firstLine="560"/>
        <w:rPr>
          <w:rFonts w:ascii="Times New Roman" w:eastAsia="仿宋_GB2312" w:hAnsi="Times New Roman" w:cs="Times New Roman"/>
          <w:bCs/>
          <w:kern w:val="44"/>
          <w:sz w:val="28"/>
          <w:szCs w:val="28"/>
        </w:rPr>
      </w:pPr>
      <w:r w:rsidRPr="00D067CC">
        <w:rPr>
          <w:rFonts w:ascii="Times New Roman" w:eastAsia="仿宋_GB2312" w:hAnsi="Times New Roman" w:cs="Times New Roman"/>
          <w:sz w:val="28"/>
          <w:szCs w:val="28"/>
        </w:rPr>
        <w:t>3</w:t>
      </w:r>
      <w:r>
        <w:rPr>
          <w:rFonts w:ascii="Times New Roman" w:eastAsia="仿宋_GB2312" w:hAnsi="Times New Roman" w:cs="Times New Roman"/>
          <w:sz w:val="28"/>
          <w:szCs w:val="28"/>
        </w:rPr>
        <w:t>86</w:t>
      </w:r>
      <w:r w:rsidRPr="00D067CC">
        <w:rPr>
          <w:rFonts w:ascii="Times New Roman" w:eastAsia="仿宋_GB2312" w:hAnsi="Times New Roman" w:cs="Times New Roman"/>
          <w:sz w:val="28"/>
          <w:szCs w:val="28"/>
        </w:rPr>
        <w:t>家集中式污水处理厂</w:t>
      </w:r>
      <w:r w:rsidR="002E376F">
        <w:rPr>
          <w:rFonts w:eastAsia="仿宋_GB2312" w:hint="eastAsia"/>
          <w:sz w:val="28"/>
          <w:szCs w:val="28"/>
        </w:rPr>
        <w:t>执法</w:t>
      </w:r>
      <w:r w:rsidRPr="00D067CC">
        <w:rPr>
          <w:rFonts w:ascii="Times New Roman" w:eastAsia="仿宋_GB2312" w:hAnsi="Times New Roman" w:cs="Times New Roman"/>
          <w:sz w:val="28"/>
          <w:szCs w:val="28"/>
        </w:rPr>
        <w:t>监测总体达标率为</w:t>
      </w:r>
      <w:r w:rsidRPr="00D067CC">
        <w:rPr>
          <w:rFonts w:ascii="Times New Roman" w:eastAsia="仿宋_GB2312" w:hAnsi="Times New Roman" w:cs="Times New Roman"/>
          <w:sz w:val="28"/>
          <w:szCs w:val="28"/>
        </w:rPr>
        <w:t>99.</w:t>
      </w:r>
      <w:r>
        <w:rPr>
          <w:rFonts w:ascii="Times New Roman" w:eastAsia="仿宋_GB2312" w:hAnsi="Times New Roman" w:cs="Times New Roman"/>
          <w:sz w:val="28"/>
          <w:szCs w:val="28"/>
        </w:rPr>
        <w:t>9</w:t>
      </w:r>
      <w:r w:rsidRPr="00D067CC">
        <w:rPr>
          <w:rFonts w:ascii="Times New Roman" w:eastAsia="仿宋_GB2312" w:hAnsi="Times New Roman" w:cs="Times New Roman"/>
          <w:sz w:val="28"/>
          <w:szCs w:val="28"/>
        </w:rPr>
        <w:t>%</w:t>
      </w:r>
      <w:r w:rsidRPr="00D067CC">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较上年</w:t>
      </w:r>
      <w:r>
        <w:rPr>
          <w:rFonts w:ascii="Times New Roman" w:eastAsia="仿宋_GB2312" w:hAnsi="Times New Roman" w:cs="Times New Roman" w:hint="eastAsia"/>
          <w:bCs/>
          <w:kern w:val="44"/>
          <w:sz w:val="28"/>
          <w:szCs w:val="28"/>
        </w:rPr>
        <w:t>上升</w:t>
      </w:r>
      <w:r w:rsidRPr="00F70D6C">
        <w:rPr>
          <w:rFonts w:ascii="Times New Roman" w:eastAsia="仿宋_GB2312" w:hAnsi="Times New Roman" w:cs="Times New Roman"/>
          <w:bCs/>
          <w:kern w:val="44"/>
          <w:sz w:val="28"/>
          <w:szCs w:val="28"/>
        </w:rPr>
        <w:t>0.</w:t>
      </w:r>
      <w:r>
        <w:rPr>
          <w:rFonts w:ascii="Times New Roman" w:eastAsia="仿宋_GB2312" w:hAnsi="Times New Roman" w:cs="Times New Roman"/>
          <w:bCs/>
          <w:kern w:val="44"/>
          <w:sz w:val="28"/>
          <w:szCs w:val="28"/>
        </w:rPr>
        <w:t>2</w:t>
      </w:r>
      <w:r w:rsidRPr="00F70D6C">
        <w:rPr>
          <w:rFonts w:ascii="Times New Roman" w:eastAsia="仿宋_GB2312" w:hAnsi="Times New Roman" w:cs="Times New Roman" w:hint="eastAsia"/>
          <w:bCs/>
          <w:kern w:val="44"/>
          <w:sz w:val="28"/>
          <w:szCs w:val="28"/>
        </w:rPr>
        <w:t>个百分点</w:t>
      </w:r>
      <w:r>
        <w:rPr>
          <w:rFonts w:ascii="Times New Roman" w:eastAsia="仿宋_GB2312" w:hAnsi="Times New Roman" w:cs="Times New Roman" w:hint="eastAsia"/>
          <w:bCs/>
          <w:kern w:val="44"/>
          <w:sz w:val="28"/>
          <w:szCs w:val="28"/>
        </w:rPr>
        <w:t>。除温州达标率为</w:t>
      </w:r>
      <w:r>
        <w:rPr>
          <w:rFonts w:ascii="Times New Roman" w:eastAsia="仿宋_GB2312" w:hAnsi="Times New Roman" w:cs="Times New Roman" w:hint="eastAsia"/>
          <w:bCs/>
          <w:kern w:val="44"/>
          <w:sz w:val="28"/>
          <w:szCs w:val="28"/>
        </w:rPr>
        <w:t>9</w:t>
      </w:r>
      <w:r>
        <w:rPr>
          <w:rFonts w:ascii="Times New Roman" w:eastAsia="仿宋_GB2312" w:hAnsi="Times New Roman" w:cs="Times New Roman"/>
          <w:bCs/>
          <w:kern w:val="44"/>
          <w:sz w:val="28"/>
          <w:szCs w:val="28"/>
        </w:rPr>
        <w:t>8.9%</w:t>
      </w:r>
      <w:r>
        <w:rPr>
          <w:rFonts w:ascii="Times New Roman" w:eastAsia="仿宋_GB2312" w:hAnsi="Times New Roman" w:cs="Times New Roman" w:hint="eastAsia"/>
          <w:bCs/>
          <w:kern w:val="44"/>
          <w:sz w:val="28"/>
          <w:szCs w:val="28"/>
        </w:rPr>
        <w:t>外，其余各设区市达标率均为</w:t>
      </w:r>
      <w:r w:rsidRPr="00D067CC">
        <w:rPr>
          <w:rFonts w:ascii="Times New Roman" w:eastAsia="仿宋_GB2312" w:hAnsi="Times New Roman" w:cs="Times New Roman"/>
          <w:sz w:val="28"/>
          <w:szCs w:val="28"/>
        </w:rPr>
        <w:t>100%</w:t>
      </w:r>
      <w:r>
        <w:rPr>
          <w:rFonts w:ascii="Times New Roman" w:eastAsia="仿宋_GB2312" w:hAnsi="Times New Roman" w:cs="Times New Roman" w:hint="eastAsia"/>
          <w:sz w:val="28"/>
          <w:szCs w:val="28"/>
        </w:rPr>
        <w:t>。</w:t>
      </w:r>
      <w:r w:rsidRPr="00D067CC">
        <w:rPr>
          <w:rFonts w:ascii="Times New Roman" w:eastAsia="仿宋_GB2312" w:hAnsi="Times New Roman" w:cs="Times New Roman"/>
          <w:sz w:val="28"/>
          <w:szCs w:val="28"/>
        </w:rPr>
        <w:t>超标指标为粪大肠菌群数、</w:t>
      </w:r>
      <w:r>
        <w:rPr>
          <w:rFonts w:ascii="Times New Roman" w:eastAsia="仿宋_GB2312" w:hAnsi="Times New Roman" w:cs="Times New Roman" w:hint="eastAsia"/>
          <w:sz w:val="28"/>
          <w:szCs w:val="28"/>
        </w:rPr>
        <w:t>总磷和氨氮</w:t>
      </w:r>
      <w:r w:rsidRPr="00D067CC">
        <w:rPr>
          <w:rFonts w:ascii="Times New Roman" w:eastAsia="仿宋_GB2312" w:hAnsi="Times New Roman" w:cs="Times New Roman"/>
          <w:sz w:val="28"/>
          <w:szCs w:val="28"/>
        </w:rPr>
        <w:t>。</w:t>
      </w:r>
    </w:p>
    <w:p w14:paraId="16F05DC3" w14:textId="47064CE1" w:rsidR="00CE5A9B" w:rsidRPr="00CE5A9B" w:rsidRDefault="00D067CC" w:rsidP="00D067CC">
      <w:pPr>
        <w:spacing w:line="560" w:lineRule="exact"/>
        <w:ind w:firstLineChars="200" w:firstLine="560"/>
        <w:rPr>
          <w:rFonts w:ascii="Times New Roman" w:eastAsia="仿宋_GB2312" w:hAnsi="Times New Roman" w:cs="Times New Roman"/>
          <w:sz w:val="28"/>
          <w:szCs w:val="28"/>
        </w:rPr>
        <w:sectPr w:rsidR="00CE5A9B" w:rsidRPr="00CE5A9B" w:rsidSect="008E5890">
          <w:footerReference w:type="default" r:id="rId9"/>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r w:rsidRPr="00CE5A9B">
        <w:rPr>
          <w:rFonts w:ascii="Times New Roman" w:eastAsia="仿宋_GB2312" w:hAnsi="Times New Roman" w:cs="Times New Roman"/>
          <w:sz w:val="28"/>
          <w:szCs w:val="28"/>
        </w:rPr>
        <w:t>1</w:t>
      </w:r>
      <w:r w:rsidR="005047AD">
        <w:rPr>
          <w:rFonts w:ascii="Times New Roman" w:eastAsia="仿宋_GB2312" w:hAnsi="Times New Roman" w:cs="Times New Roman"/>
          <w:sz w:val="28"/>
          <w:szCs w:val="28"/>
        </w:rPr>
        <w:t>394</w:t>
      </w:r>
      <w:r w:rsidRPr="00CE5A9B">
        <w:rPr>
          <w:rFonts w:ascii="Times New Roman" w:eastAsia="仿宋_GB2312" w:hAnsi="Times New Roman" w:cs="Times New Roman"/>
          <w:sz w:val="28"/>
          <w:szCs w:val="28"/>
        </w:rPr>
        <w:t>家</w:t>
      </w:r>
      <w:r w:rsidR="0048314D">
        <w:rPr>
          <w:rFonts w:ascii="Times New Roman" w:eastAsia="仿宋_GB2312" w:hAnsi="Times New Roman" w:cs="Times New Roman" w:hint="eastAsia"/>
          <w:sz w:val="28"/>
          <w:szCs w:val="28"/>
        </w:rPr>
        <w:t>废气排污单位</w:t>
      </w:r>
      <w:r w:rsidRPr="00CE5A9B">
        <w:rPr>
          <w:rFonts w:ascii="Times New Roman" w:eastAsia="仿宋_GB2312" w:hAnsi="Times New Roman" w:cs="Times New Roman"/>
          <w:sz w:val="28"/>
          <w:szCs w:val="28"/>
        </w:rPr>
        <w:t>有组织排放</w:t>
      </w:r>
      <w:r w:rsidR="002E376F">
        <w:rPr>
          <w:rFonts w:eastAsia="仿宋_GB2312" w:hint="eastAsia"/>
          <w:sz w:val="28"/>
          <w:szCs w:val="28"/>
        </w:rPr>
        <w:t>执法</w:t>
      </w:r>
      <w:r w:rsidR="0048314D">
        <w:rPr>
          <w:rFonts w:ascii="Times New Roman" w:eastAsia="仿宋_GB2312" w:hAnsi="Times New Roman" w:cs="Times New Roman" w:hint="eastAsia"/>
          <w:sz w:val="28"/>
          <w:szCs w:val="28"/>
        </w:rPr>
        <w:t>监测</w:t>
      </w:r>
      <w:r w:rsidRPr="00CE5A9B">
        <w:rPr>
          <w:rFonts w:ascii="Times New Roman" w:eastAsia="仿宋_GB2312" w:hAnsi="Times New Roman" w:cs="Times New Roman"/>
          <w:sz w:val="28"/>
          <w:szCs w:val="28"/>
        </w:rPr>
        <w:t>总体达标率为</w:t>
      </w:r>
      <w:r w:rsidR="005047AD">
        <w:rPr>
          <w:rFonts w:ascii="Times New Roman" w:eastAsia="仿宋_GB2312" w:hAnsi="Times New Roman" w:cs="Times New Roman"/>
          <w:sz w:val="28"/>
          <w:szCs w:val="28"/>
        </w:rPr>
        <w:t>99.7</w:t>
      </w:r>
      <w:r w:rsidRPr="00CE5A9B">
        <w:rPr>
          <w:rFonts w:ascii="Times New Roman" w:eastAsia="仿宋_GB2312" w:hAnsi="Times New Roman" w:cs="Times New Roman"/>
          <w:sz w:val="28"/>
          <w:szCs w:val="28"/>
        </w:rPr>
        <w:t>%</w:t>
      </w:r>
      <w:r w:rsidR="00E35FBD">
        <w:rPr>
          <w:rFonts w:ascii="Times New Roman" w:eastAsia="仿宋_GB2312" w:hAnsi="Times New Roman" w:cs="Times New Roman" w:hint="eastAsia"/>
          <w:sz w:val="28"/>
          <w:szCs w:val="28"/>
        </w:rPr>
        <w:t>，较上年</w:t>
      </w:r>
      <w:r w:rsidR="0012370F">
        <w:rPr>
          <w:rFonts w:ascii="Times New Roman" w:eastAsia="仿宋_GB2312" w:hAnsi="Times New Roman" w:cs="Times New Roman" w:hint="eastAsia"/>
          <w:bCs/>
          <w:kern w:val="44"/>
          <w:sz w:val="28"/>
          <w:szCs w:val="28"/>
        </w:rPr>
        <w:t>上升</w:t>
      </w:r>
      <w:r w:rsidR="00E35FBD" w:rsidRPr="00F70D6C">
        <w:rPr>
          <w:rFonts w:ascii="Times New Roman" w:eastAsia="仿宋_GB2312" w:hAnsi="Times New Roman" w:cs="Times New Roman"/>
          <w:bCs/>
          <w:kern w:val="44"/>
          <w:sz w:val="28"/>
          <w:szCs w:val="28"/>
        </w:rPr>
        <w:t>0.</w:t>
      </w:r>
      <w:r w:rsidR="005047AD">
        <w:rPr>
          <w:rFonts w:ascii="Times New Roman" w:eastAsia="仿宋_GB2312" w:hAnsi="Times New Roman" w:cs="Times New Roman"/>
          <w:bCs/>
          <w:kern w:val="44"/>
          <w:sz w:val="28"/>
          <w:szCs w:val="28"/>
        </w:rPr>
        <w:t>3</w:t>
      </w:r>
      <w:r w:rsidR="00E35FBD" w:rsidRPr="00F70D6C">
        <w:rPr>
          <w:rFonts w:ascii="Times New Roman" w:eastAsia="仿宋_GB2312" w:hAnsi="Times New Roman" w:cs="Times New Roman" w:hint="eastAsia"/>
          <w:bCs/>
          <w:kern w:val="44"/>
          <w:sz w:val="28"/>
          <w:szCs w:val="28"/>
        </w:rPr>
        <w:t>个百分点</w:t>
      </w:r>
      <w:r w:rsidR="00E35FBD">
        <w:rPr>
          <w:rFonts w:ascii="Times New Roman" w:eastAsia="仿宋_GB2312" w:hAnsi="Times New Roman" w:cs="Times New Roman" w:hint="eastAsia"/>
          <w:bCs/>
          <w:kern w:val="44"/>
          <w:sz w:val="28"/>
          <w:szCs w:val="28"/>
        </w:rPr>
        <w:t>。</w:t>
      </w:r>
      <w:r w:rsidRPr="00CE5A9B">
        <w:rPr>
          <w:rFonts w:ascii="Times New Roman" w:eastAsia="仿宋_GB2312" w:hAnsi="Times New Roman" w:cs="Times New Roman"/>
          <w:sz w:val="28"/>
          <w:szCs w:val="28"/>
        </w:rPr>
        <w:t>达标率最高的设区市为</w:t>
      </w:r>
      <w:r w:rsidR="005047AD">
        <w:rPr>
          <w:rFonts w:ascii="Times New Roman" w:eastAsia="仿宋_GB2312" w:hAnsi="Times New Roman" w:cs="Times New Roman" w:hint="eastAsia"/>
          <w:bCs/>
          <w:kern w:val="44"/>
          <w:sz w:val="28"/>
          <w:szCs w:val="28"/>
        </w:rPr>
        <w:t>宁波、温州、嘉兴、绍兴、金华、舟山和丽水</w:t>
      </w:r>
      <w:r w:rsidRPr="00CE5A9B">
        <w:rPr>
          <w:rFonts w:ascii="Times New Roman" w:eastAsia="仿宋_GB2312" w:hAnsi="Times New Roman" w:cs="Times New Roman"/>
          <w:sz w:val="28"/>
          <w:szCs w:val="28"/>
        </w:rPr>
        <w:t>，</w:t>
      </w:r>
      <w:r w:rsidR="0012370F">
        <w:rPr>
          <w:rFonts w:ascii="Times New Roman" w:eastAsia="仿宋_GB2312" w:hAnsi="Times New Roman" w:cs="Times New Roman" w:hint="eastAsia"/>
          <w:sz w:val="28"/>
          <w:szCs w:val="28"/>
        </w:rPr>
        <w:t>均为</w:t>
      </w:r>
      <w:r w:rsidRPr="00CE5A9B">
        <w:rPr>
          <w:rFonts w:ascii="Times New Roman" w:eastAsia="仿宋_GB2312" w:hAnsi="Times New Roman" w:cs="Times New Roman"/>
          <w:sz w:val="28"/>
          <w:szCs w:val="28"/>
        </w:rPr>
        <w:t>100%</w:t>
      </w:r>
      <w:r w:rsidRPr="00CE5A9B">
        <w:rPr>
          <w:rFonts w:ascii="Times New Roman" w:eastAsia="仿宋_GB2312" w:hAnsi="Times New Roman" w:cs="Times New Roman"/>
          <w:sz w:val="28"/>
          <w:szCs w:val="28"/>
        </w:rPr>
        <w:t>；最低的为</w:t>
      </w:r>
      <w:r w:rsidR="005047AD">
        <w:rPr>
          <w:rFonts w:ascii="Times New Roman" w:eastAsia="仿宋_GB2312" w:hAnsi="Times New Roman" w:cs="Times New Roman" w:hint="eastAsia"/>
          <w:bCs/>
          <w:kern w:val="44"/>
          <w:sz w:val="28"/>
          <w:szCs w:val="28"/>
        </w:rPr>
        <w:t>衢州</w:t>
      </w:r>
      <w:r w:rsidR="005047AD">
        <w:rPr>
          <w:rFonts w:ascii="Times New Roman" w:eastAsia="仿宋_GB2312" w:hAnsi="Times New Roman" w:cs="Times New Roman"/>
          <w:bCs/>
          <w:kern w:val="44"/>
          <w:sz w:val="28"/>
          <w:szCs w:val="28"/>
        </w:rPr>
        <w:t>98.5%</w:t>
      </w:r>
      <w:r w:rsidRPr="00CE5A9B">
        <w:rPr>
          <w:rFonts w:ascii="Times New Roman" w:eastAsia="仿宋_GB2312" w:hAnsi="Times New Roman" w:cs="Times New Roman"/>
          <w:sz w:val="28"/>
          <w:szCs w:val="28"/>
        </w:rPr>
        <w:t>。</w:t>
      </w:r>
      <w:r w:rsidR="00D428D0">
        <w:rPr>
          <w:rFonts w:ascii="Times New Roman" w:eastAsia="仿宋_GB2312" w:hAnsi="Times New Roman" w:cs="Times New Roman" w:hint="eastAsia"/>
          <w:sz w:val="28"/>
          <w:szCs w:val="28"/>
        </w:rPr>
        <w:t>主要</w:t>
      </w:r>
      <w:r w:rsidRPr="00CE5A9B">
        <w:rPr>
          <w:rFonts w:ascii="Times New Roman" w:eastAsia="仿宋_GB2312" w:hAnsi="Times New Roman" w:cs="Times New Roman"/>
          <w:sz w:val="28"/>
          <w:szCs w:val="28"/>
        </w:rPr>
        <w:t>超标行业</w:t>
      </w:r>
      <w:r w:rsidR="005047AD">
        <w:rPr>
          <w:rFonts w:ascii="Times New Roman" w:eastAsia="仿宋_GB2312" w:hAnsi="Times New Roman" w:cs="Times New Roman" w:hint="eastAsia"/>
          <w:sz w:val="28"/>
          <w:szCs w:val="28"/>
        </w:rPr>
        <w:t>为</w:t>
      </w:r>
      <w:r w:rsidR="005047AD" w:rsidRPr="005529F4">
        <w:rPr>
          <w:rFonts w:ascii="Times New Roman" w:eastAsia="仿宋_GB2312" w:hAnsi="Times New Roman" w:cs="Times New Roman" w:hint="eastAsia"/>
          <w:bCs/>
          <w:kern w:val="44"/>
          <w:sz w:val="28"/>
          <w:szCs w:val="28"/>
        </w:rPr>
        <w:t>电力、热力生产和供应业</w:t>
      </w:r>
      <w:r w:rsidR="00D428D0">
        <w:rPr>
          <w:rFonts w:ascii="Times New Roman" w:eastAsia="仿宋_GB2312" w:hAnsi="Times New Roman" w:cs="Times New Roman" w:hint="eastAsia"/>
          <w:bCs/>
          <w:kern w:val="44"/>
          <w:sz w:val="28"/>
          <w:szCs w:val="28"/>
        </w:rPr>
        <w:t>等</w:t>
      </w:r>
      <w:r w:rsidR="0012370F">
        <w:rPr>
          <w:rFonts w:ascii="Times New Roman" w:eastAsia="仿宋_GB2312" w:hAnsi="Times New Roman" w:cs="Times New Roman"/>
          <w:sz w:val="28"/>
          <w:szCs w:val="28"/>
        </w:rPr>
        <w:t>；</w:t>
      </w:r>
      <w:r w:rsidR="00D428D0">
        <w:rPr>
          <w:rFonts w:ascii="Times New Roman" w:eastAsia="仿宋_GB2312" w:hAnsi="Times New Roman" w:cs="Times New Roman" w:hint="eastAsia"/>
          <w:sz w:val="28"/>
          <w:szCs w:val="28"/>
        </w:rPr>
        <w:t>主要</w:t>
      </w:r>
      <w:r w:rsidR="0012370F">
        <w:rPr>
          <w:rFonts w:ascii="Times New Roman" w:eastAsia="仿宋_GB2312" w:hAnsi="Times New Roman" w:cs="Times New Roman"/>
          <w:sz w:val="28"/>
          <w:szCs w:val="28"/>
        </w:rPr>
        <w:t>超标指标</w:t>
      </w:r>
      <w:r w:rsidR="005047AD">
        <w:rPr>
          <w:rFonts w:ascii="Times New Roman" w:eastAsia="仿宋_GB2312" w:hAnsi="Times New Roman" w:cs="Times New Roman" w:hint="eastAsia"/>
          <w:sz w:val="28"/>
          <w:szCs w:val="28"/>
        </w:rPr>
        <w:t>为</w:t>
      </w:r>
      <w:r w:rsidR="005047AD" w:rsidRPr="00F1328B">
        <w:rPr>
          <w:rFonts w:ascii="Times New Roman" w:eastAsia="仿宋_GB2312" w:hAnsi="Times New Roman" w:cs="Times New Roman" w:hint="eastAsia"/>
          <w:bCs/>
          <w:kern w:val="44"/>
          <w:sz w:val="28"/>
          <w:szCs w:val="28"/>
        </w:rPr>
        <w:t>二噁英类</w:t>
      </w:r>
      <w:r w:rsidR="00D428D0">
        <w:rPr>
          <w:rFonts w:ascii="Times New Roman" w:eastAsia="仿宋_GB2312" w:hAnsi="Times New Roman" w:cs="Times New Roman" w:hint="eastAsia"/>
          <w:bCs/>
          <w:kern w:val="44"/>
          <w:sz w:val="28"/>
          <w:szCs w:val="28"/>
        </w:rPr>
        <w:t>等</w:t>
      </w:r>
      <w:r w:rsidR="005047AD" w:rsidRPr="00F1328B">
        <w:rPr>
          <w:rFonts w:ascii="Times New Roman" w:eastAsia="仿宋_GB2312" w:hAnsi="Times New Roman" w:cs="Times New Roman" w:hint="eastAsia"/>
          <w:bCs/>
          <w:kern w:val="44"/>
          <w:sz w:val="28"/>
          <w:szCs w:val="28"/>
        </w:rPr>
        <w:t>。</w:t>
      </w:r>
      <w:r w:rsidR="0012370F">
        <w:rPr>
          <w:rFonts w:ascii="Times New Roman" w:eastAsia="仿宋_GB2312" w:hAnsi="Times New Roman" w:cs="Times New Roman" w:hint="eastAsia"/>
          <w:sz w:val="28"/>
          <w:szCs w:val="28"/>
        </w:rPr>
        <w:t>其中</w:t>
      </w:r>
      <w:r w:rsidR="005047AD">
        <w:rPr>
          <w:rFonts w:ascii="Times New Roman" w:eastAsia="仿宋_GB2312" w:hAnsi="Times New Roman" w:cs="Times New Roman"/>
          <w:bCs/>
          <w:kern w:val="44"/>
          <w:sz w:val="28"/>
          <w:szCs w:val="28"/>
        </w:rPr>
        <w:t>676</w:t>
      </w:r>
      <w:r w:rsidR="0048314D" w:rsidRPr="00E95B6F">
        <w:rPr>
          <w:rFonts w:ascii="Times New Roman" w:eastAsia="仿宋_GB2312" w:hAnsi="Times New Roman" w:cs="Times New Roman"/>
          <w:bCs/>
          <w:kern w:val="44"/>
          <w:sz w:val="28"/>
          <w:szCs w:val="28"/>
        </w:rPr>
        <w:t>家废气</w:t>
      </w:r>
      <w:r w:rsidR="003177BF">
        <w:rPr>
          <w:rFonts w:ascii="Times New Roman" w:eastAsia="仿宋_GB2312" w:hAnsi="Times New Roman" w:cs="Times New Roman" w:hint="eastAsia"/>
          <w:bCs/>
          <w:kern w:val="44"/>
          <w:sz w:val="28"/>
          <w:szCs w:val="28"/>
        </w:rPr>
        <w:t>排污单位</w:t>
      </w:r>
      <w:r w:rsidR="0012370F">
        <w:rPr>
          <w:rFonts w:ascii="Times New Roman" w:eastAsia="仿宋_GB2312" w:hAnsi="Times New Roman" w:cs="Times New Roman" w:hint="eastAsia"/>
          <w:bCs/>
          <w:kern w:val="44"/>
          <w:sz w:val="28"/>
          <w:szCs w:val="28"/>
        </w:rPr>
        <w:t>开展了</w:t>
      </w:r>
      <w:r w:rsidR="0048314D" w:rsidRPr="00E95B6F">
        <w:rPr>
          <w:rFonts w:ascii="Times New Roman" w:eastAsia="仿宋_GB2312" w:hAnsi="Times New Roman" w:cs="Times New Roman"/>
          <w:bCs/>
          <w:kern w:val="44"/>
          <w:sz w:val="28"/>
          <w:szCs w:val="28"/>
        </w:rPr>
        <w:t>无组织</w:t>
      </w:r>
      <w:r w:rsidR="0048314D">
        <w:rPr>
          <w:rFonts w:ascii="Times New Roman" w:eastAsia="仿宋_GB2312" w:hAnsi="Times New Roman" w:cs="Times New Roman" w:hint="eastAsia"/>
          <w:bCs/>
          <w:kern w:val="44"/>
          <w:sz w:val="28"/>
          <w:szCs w:val="28"/>
        </w:rPr>
        <w:t>排放</w:t>
      </w:r>
      <w:r w:rsidR="0048314D" w:rsidRPr="00E95B6F">
        <w:rPr>
          <w:rFonts w:ascii="Times New Roman" w:eastAsia="仿宋_GB2312" w:hAnsi="Times New Roman" w:cs="Times New Roman"/>
          <w:bCs/>
          <w:kern w:val="44"/>
          <w:sz w:val="28"/>
          <w:szCs w:val="28"/>
        </w:rPr>
        <w:t>监测</w:t>
      </w:r>
      <w:r w:rsidR="0012370F">
        <w:rPr>
          <w:rFonts w:ascii="Times New Roman" w:eastAsia="仿宋_GB2312" w:hAnsi="Times New Roman" w:cs="Times New Roman" w:hint="eastAsia"/>
          <w:bCs/>
          <w:kern w:val="44"/>
          <w:sz w:val="28"/>
          <w:szCs w:val="28"/>
        </w:rPr>
        <w:t>，</w:t>
      </w:r>
      <w:r w:rsidR="0048314D">
        <w:rPr>
          <w:rFonts w:ascii="Times New Roman" w:eastAsia="仿宋_GB2312" w:hAnsi="Times New Roman" w:cs="Times New Roman" w:hint="eastAsia"/>
          <w:bCs/>
          <w:kern w:val="44"/>
          <w:sz w:val="28"/>
          <w:szCs w:val="28"/>
        </w:rPr>
        <w:t>总体</w:t>
      </w:r>
      <w:r w:rsidR="0048314D" w:rsidRPr="00E95B6F">
        <w:rPr>
          <w:rFonts w:ascii="Times New Roman" w:eastAsia="仿宋_GB2312" w:hAnsi="Times New Roman" w:cs="Times New Roman"/>
          <w:bCs/>
          <w:kern w:val="44"/>
          <w:sz w:val="28"/>
          <w:szCs w:val="28"/>
        </w:rPr>
        <w:t>达标率为</w:t>
      </w:r>
      <w:r w:rsidR="0048314D" w:rsidRPr="00E95B6F">
        <w:rPr>
          <w:rFonts w:ascii="Times New Roman" w:eastAsia="仿宋_GB2312" w:hAnsi="Times New Roman" w:cs="Times New Roman"/>
          <w:bCs/>
          <w:kern w:val="44"/>
          <w:sz w:val="28"/>
          <w:szCs w:val="28"/>
        </w:rPr>
        <w:t>9</w:t>
      </w:r>
      <w:r w:rsidR="005047AD">
        <w:rPr>
          <w:rFonts w:ascii="Times New Roman" w:eastAsia="仿宋_GB2312" w:hAnsi="Times New Roman" w:cs="Times New Roman"/>
          <w:bCs/>
          <w:kern w:val="44"/>
          <w:sz w:val="28"/>
          <w:szCs w:val="28"/>
        </w:rPr>
        <w:t>9.7</w:t>
      </w:r>
      <w:r w:rsidR="0048314D" w:rsidRPr="00E95B6F">
        <w:rPr>
          <w:rFonts w:ascii="Times New Roman" w:eastAsia="仿宋_GB2312" w:hAnsi="Times New Roman" w:cs="Times New Roman"/>
          <w:bCs/>
          <w:kern w:val="44"/>
          <w:sz w:val="28"/>
          <w:szCs w:val="28"/>
        </w:rPr>
        <w:t>%</w:t>
      </w:r>
      <w:r w:rsidR="0012370F">
        <w:rPr>
          <w:rFonts w:ascii="Times New Roman" w:eastAsia="仿宋_GB2312" w:hAnsi="Times New Roman" w:cs="Times New Roman" w:hint="eastAsia"/>
          <w:bCs/>
          <w:kern w:val="44"/>
          <w:sz w:val="28"/>
          <w:szCs w:val="28"/>
        </w:rPr>
        <w:t>，较上年</w:t>
      </w:r>
      <w:r w:rsidR="005047AD">
        <w:rPr>
          <w:rFonts w:ascii="Times New Roman" w:eastAsia="仿宋_GB2312" w:hAnsi="Times New Roman" w:cs="Times New Roman" w:hint="eastAsia"/>
          <w:bCs/>
          <w:kern w:val="44"/>
          <w:sz w:val="28"/>
          <w:szCs w:val="28"/>
        </w:rPr>
        <w:t>下降</w:t>
      </w:r>
      <w:r w:rsidR="0048314D">
        <w:rPr>
          <w:rFonts w:ascii="Times New Roman" w:eastAsia="仿宋_GB2312" w:hAnsi="Times New Roman" w:cs="Times New Roman" w:hint="eastAsia"/>
          <w:bCs/>
          <w:kern w:val="44"/>
          <w:sz w:val="28"/>
          <w:szCs w:val="28"/>
        </w:rPr>
        <w:t>0</w:t>
      </w:r>
      <w:r w:rsidR="005047AD">
        <w:rPr>
          <w:rFonts w:ascii="Times New Roman" w:eastAsia="仿宋_GB2312" w:hAnsi="Times New Roman" w:cs="Times New Roman"/>
          <w:bCs/>
          <w:kern w:val="44"/>
          <w:sz w:val="28"/>
          <w:szCs w:val="28"/>
        </w:rPr>
        <w:t>.1</w:t>
      </w:r>
      <w:r w:rsidR="0048314D">
        <w:rPr>
          <w:rFonts w:ascii="Times New Roman" w:eastAsia="仿宋_GB2312" w:hAnsi="Times New Roman" w:cs="Times New Roman" w:hint="eastAsia"/>
          <w:bCs/>
          <w:kern w:val="44"/>
          <w:sz w:val="28"/>
          <w:szCs w:val="28"/>
        </w:rPr>
        <w:t>个百分点</w:t>
      </w:r>
      <w:r w:rsidR="0048314D" w:rsidRPr="00E95B6F">
        <w:rPr>
          <w:rFonts w:ascii="Times New Roman" w:eastAsia="仿宋_GB2312" w:hAnsi="Times New Roman" w:cs="Times New Roman"/>
          <w:bCs/>
          <w:kern w:val="44"/>
          <w:sz w:val="28"/>
          <w:szCs w:val="28"/>
        </w:rPr>
        <w:t>。</w:t>
      </w:r>
    </w:p>
    <w:sdt>
      <w:sdtPr>
        <w:rPr>
          <w:rFonts w:asciiTheme="minorHAnsi" w:eastAsiaTheme="minorEastAsia" w:hAnsiTheme="minorHAnsi" w:cstheme="minorBidi"/>
          <w:color w:val="auto"/>
          <w:kern w:val="2"/>
          <w:sz w:val="21"/>
          <w:szCs w:val="22"/>
          <w:lang w:val="zh-CN"/>
        </w:rPr>
        <w:id w:val="1245371763"/>
        <w:docPartObj>
          <w:docPartGallery w:val="Table of Contents"/>
          <w:docPartUnique/>
        </w:docPartObj>
      </w:sdtPr>
      <w:sdtEndPr>
        <w:rPr>
          <w:rFonts w:ascii="Times New Roman" w:eastAsia="仿宋" w:hAnsi="Times New Roman" w:cs="Times New Roman"/>
          <w:b/>
          <w:bCs/>
          <w:sz w:val="28"/>
          <w:szCs w:val="28"/>
        </w:rPr>
      </w:sdtEndPr>
      <w:sdtContent>
        <w:p w14:paraId="1267344D" w14:textId="110C36B8" w:rsidR="001D68F7" w:rsidRPr="001D68F7" w:rsidRDefault="001D68F7" w:rsidP="001D68F7">
          <w:pPr>
            <w:pStyle w:val="TOC"/>
            <w:jc w:val="center"/>
            <w:rPr>
              <w:rFonts w:ascii="黑体" w:eastAsia="黑体" w:hAnsi="黑体"/>
              <w:color w:val="auto"/>
            </w:rPr>
          </w:pPr>
          <w:r w:rsidRPr="001D68F7">
            <w:rPr>
              <w:rFonts w:ascii="黑体" w:eastAsia="黑体" w:hAnsi="黑体"/>
              <w:color w:val="auto"/>
              <w:lang w:val="zh-CN"/>
            </w:rPr>
            <w:t>目</w:t>
          </w:r>
          <w:r w:rsidRPr="001D68F7">
            <w:rPr>
              <w:rFonts w:ascii="黑体" w:eastAsia="黑体" w:hAnsi="黑体" w:hint="eastAsia"/>
              <w:color w:val="auto"/>
              <w:lang w:val="zh-CN"/>
            </w:rPr>
            <w:t xml:space="preserve"> </w:t>
          </w:r>
          <w:r w:rsidRPr="001D68F7">
            <w:rPr>
              <w:rFonts w:ascii="黑体" w:eastAsia="黑体" w:hAnsi="黑体"/>
              <w:color w:val="auto"/>
              <w:lang w:val="zh-CN"/>
            </w:rPr>
            <w:t xml:space="preserve"> 录</w:t>
          </w:r>
        </w:p>
        <w:p w14:paraId="0800089D" w14:textId="37648F61" w:rsidR="00384238" w:rsidRPr="00384238" w:rsidRDefault="001D68F7">
          <w:pPr>
            <w:pStyle w:val="11"/>
            <w:tabs>
              <w:tab w:val="right" w:leader="dot" w:pos="8296"/>
            </w:tabs>
            <w:rPr>
              <w:rFonts w:ascii="Times New Roman" w:eastAsia="仿宋" w:hAnsi="Times New Roman" w:cs="Times New Roman"/>
              <w:noProof/>
              <w:sz w:val="28"/>
              <w:szCs w:val="28"/>
            </w:rPr>
          </w:pPr>
          <w:r w:rsidRPr="00384238">
            <w:rPr>
              <w:rFonts w:ascii="Times New Roman" w:eastAsia="仿宋" w:hAnsi="Times New Roman" w:cs="Times New Roman"/>
              <w:sz w:val="28"/>
              <w:szCs w:val="28"/>
            </w:rPr>
            <w:fldChar w:fldCharType="begin"/>
          </w:r>
          <w:r w:rsidRPr="00384238">
            <w:rPr>
              <w:rFonts w:ascii="Times New Roman" w:eastAsia="仿宋" w:hAnsi="Times New Roman" w:cs="Times New Roman"/>
              <w:sz w:val="28"/>
              <w:szCs w:val="28"/>
            </w:rPr>
            <w:instrText xml:space="preserve"> TOC \o "1-3" \h \z \u </w:instrText>
          </w:r>
          <w:r w:rsidRPr="00384238">
            <w:rPr>
              <w:rFonts w:ascii="Times New Roman" w:eastAsia="仿宋" w:hAnsi="Times New Roman" w:cs="Times New Roman"/>
              <w:sz w:val="28"/>
              <w:szCs w:val="28"/>
            </w:rPr>
            <w:fldChar w:fldCharType="separate"/>
          </w:r>
          <w:hyperlink w:anchor="_Toc126401591" w:history="1">
            <w:r w:rsidR="00384238" w:rsidRPr="00384238">
              <w:rPr>
                <w:rStyle w:val="ab"/>
                <w:rFonts w:ascii="Times New Roman" w:eastAsia="仿宋" w:hAnsi="Times New Roman" w:cs="Times New Roman"/>
                <w:b/>
                <w:bCs/>
                <w:noProof/>
                <w:kern w:val="44"/>
                <w:sz w:val="28"/>
                <w:szCs w:val="28"/>
              </w:rPr>
              <w:t>一、组织实施情况</w:t>
            </w:r>
            <w:r w:rsidR="00384238" w:rsidRPr="00384238">
              <w:rPr>
                <w:rFonts w:ascii="Times New Roman" w:eastAsia="仿宋" w:hAnsi="Times New Roman" w:cs="Times New Roman"/>
                <w:noProof/>
                <w:webHidden/>
                <w:sz w:val="28"/>
                <w:szCs w:val="28"/>
              </w:rPr>
              <w:tab/>
            </w:r>
            <w:r w:rsidR="00384238" w:rsidRPr="00384238">
              <w:rPr>
                <w:rFonts w:ascii="Times New Roman" w:eastAsia="仿宋" w:hAnsi="Times New Roman" w:cs="Times New Roman"/>
                <w:noProof/>
                <w:webHidden/>
                <w:sz w:val="28"/>
                <w:szCs w:val="28"/>
              </w:rPr>
              <w:fldChar w:fldCharType="begin"/>
            </w:r>
            <w:r w:rsidR="00384238" w:rsidRPr="00384238">
              <w:rPr>
                <w:rFonts w:ascii="Times New Roman" w:eastAsia="仿宋" w:hAnsi="Times New Roman" w:cs="Times New Roman"/>
                <w:noProof/>
                <w:webHidden/>
                <w:sz w:val="28"/>
                <w:szCs w:val="28"/>
              </w:rPr>
              <w:instrText xml:space="preserve"> PAGEREF _Toc126401591 \h </w:instrText>
            </w:r>
            <w:r w:rsidR="00384238" w:rsidRPr="00384238">
              <w:rPr>
                <w:rFonts w:ascii="Times New Roman" w:eastAsia="仿宋" w:hAnsi="Times New Roman" w:cs="Times New Roman"/>
                <w:noProof/>
                <w:webHidden/>
                <w:sz w:val="28"/>
                <w:szCs w:val="28"/>
              </w:rPr>
            </w:r>
            <w:r w:rsidR="00384238" w:rsidRPr="00384238">
              <w:rPr>
                <w:rFonts w:ascii="Times New Roman" w:eastAsia="仿宋" w:hAnsi="Times New Roman" w:cs="Times New Roman"/>
                <w:noProof/>
                <w:webHidden/>
                <w:sz w:val="28"/>
                <w:szCs w:val="28"/>
              </w:rPr>
              <w:fldChar w:fldCharType="separate"/>
            </w:r>
            <w:r w:rsidR="00997719">
              <w:rPr>
                <w:rFonts w:ascii="Times New Roman" w:eastAsia="仿宋" w:hAnsi="Times New Roman" w:cs="Times New Roman"/>
                <w:noProof/>
                <w:webHidden/>
                <w:sz w:val="28"/>
                <w:szCs w:val="28"/>
              </w:rPr>
              <w:t>1</w:t>
            </w:r>
            <w:r w:rsidR="00384238" w:rsidRPr="00384238">
              <w:rPr>
                <w:rFonts w:ascii="Times New Roman" w:eastAsia="仿宋" w:hAnsi="Times New Roman" w:cs="Times New Roman"/>
                <w:noProof/>
                <w:webHidden/>
                <w:sz w:val="28"/>
                <w:szCs w:val="28"/>
              </w:rPr>
              <w:fldChar w:fldCharType="end"/>
            </w:r>
          </w:hyperlink>
        </w:p>
        <w:p w14:paraId="04571255" w14:textId="364BEC8F" w:rsidR="00384238" w:rsidRPr="00384238" w:rsidRDefault="00D273E8">
          <w:pPr>
            <w:pStyle w:val="11"/>
            <w:tabs>
              <w:tab w:val="right" w:leader="dot" w:pos="8296"/>
            </w:tabs>
            <w:rPr>
              <w:rFonts w:ascii="Times New Roman" w:eastAsia="仿宋" w:hAnsi="Times New Roman" w:cs="Times New Roman"/>
              <w:noProof/>
              <w:sz w:val="28"/>
              <w:szCs w:val="28"/>
            </w:rPr>
          </w:pPr>
          <w:hyperlink w:anchor="_Toc126401592" w:history="1">
            <w:r w:rsidR="00384238" w:rsidRPr="00384238">
              <w:rPr>
                <w:rStyle w:val="ab"/>
                <w:rFonts w:ascii="Times New Roman" w:eastAsia="仿宋" w:hAnsi="Times New Roman" w:cs="Times New Roman"/>
                <w:b/>
                <w:bCs/>
                <w:noProof/>
                <w:kern w:val="44"/>
                <w:sz w:val="28"/>
                <w:szCs w:val="28"/>
              </w:rPr>
              <w:t>二、监测概况</w:t>
            </w:r>
            <w:r w:rsidR="00384238" w:rsidRPr="00384238">
              <w:rPr>
                <w:rFonts w:ascii="Times New Roman" w:eastAsia="仿宋" w:hAnsi="Times New Roman" w:cs="Times New Roman"/>
                <w:noProof/>
                <w:webHidden/>
                <w:sz w:val="28"/>
                <w:szCs w:val="28"/>
              </w:rPr>
              <w:tab/>
            </w:r>
            <w:r w:rsidR="00384238" w:rsidRPr="00384238">
              <w:rPr>
                <w:rFonts w:ascii="Times New Roman" w:eastAsia="仿宋" w:hAnsi="Times New Roman" w:cs="Times New Roman"/>
                <w:noProof/>
                <w:webHidden/>
                <w:sz w:val="28"/>
                <w:szCs w:val="28"/>
              </w:rPr>
              <w:fldChar w:fldCharType="begin"/>
            </w:r>
            <w:r w:rsidR="00384238" w:rsidRPr="00384238">
              <w:rPr>
                <w:rFonts w:ascii="Times New Roman" w:eastAsia="仿宋" w:hAnsi="Times New Roman" w:cs="Times New Roman"/>
                <w:noProof/>
                <w:webHidden/>
                <w:sz w:val="28"/>
                <w:szCs w:val="28"/>
              </w:rPr>
              <w:instrText xml:space="preserve"> PAGEREF _Toc126401592 \h </w:instrText>
            </w:r>
            <w:r w:rsidR="00384238" w:rsidRPr="00384238">
              <w:rPr>
                <w:rFonts w:ascii="Times New Roman" w:eastAsia="仿宋" w:hAnsi="Times New Roman" w:cs="Times New Roman"/>
                <w:noProof/>
                <w:webHidden/>
                <w:sz w:val="28"/>
                <w:szCs w:val="28"/>
              </w:rPr>
            </w:r>
            <w:r w:rsidR="00384238" w:rsidRPr="00384238">
              <w:rPr>
                <w:rFonts w:ascii="Times New Roman" w:eastAsia="仿宋" w:hAnsi="Times New Roman" w:cs="Times New Roman"/>
                <w:noProof/>
                <w:webHidden/>
                <w:sz w:val="28"/>
                <w:szCs w:val="28"/>
              </w:rPr>
              <w:fldChar w:fldCharType="separate"/>
            </w:r>
            <w:r w:rsidR="00997719">
              <w:rPr>
                <w:rFonts w:ascii="Times New Roman" w:eastAsia="仿宋" w:hAnsi="Times New Roman" w:cs="Times New Roman"/>
                <w:noProof/>
                <w:webHidden/>
                <w:sz w:val="28"/>
                <w:szCs w:val="28"/>
              </w:rPr>
              <w:t>1</w:t>
            </w:r>
            <w:r w:rsidR="00384238" w:rsidRPr="00384238">
              <w:rPr>
                <w:rFonts w:ascii="Times New Roman" w:eastAsia="仿宋" w:hAnsi="Times New Roman" w:cs="Times New Roman"/>
                <w:noProof/>
                <w:webHidden/>
                <w:sz w:val="28"/>
                <w:szCs w:val="28"/>
              </w:rPr>
              <w:fldChar w:fldCharType="end"/>
            </w:r>
          </w:hyperlink>
        </w:p>
        <w:p w14:paraId="1B66E933" w14:textId="4EE4B1DC" w:rsidR="00384238" w:rsidRPr="00384238" w:rsidRDefault="00D273E8">
          <w:pPr>
            <w:pStyle w:val="11"/>
            <w:tabs>
              <w:tab w:val="right" w:leader="dot" w:pos="8296"/>
            </w:tabs>
            <w:rPr>
              <w:rFonts w:ascii="Times New Roman" w:eastAsia="仿宋" w:hAnsi="Times New Roman" w:cs="Times New Roman"/>
              <w:noProof/>
              <w:sz w:val="28"/>
              <w:szCs w:val="28"/>
            </w:rPr>
          </w:pPr>
          <w:hyperlink w:anchor="_Toc126401593" w:history="1">
            <w:r w:rsidR="00384238" w:rsidRPr="00384238">
              <w:rPr>
                <w:rStyle w:val="ab"/>
                <w:rFonts w:ascii="Times New Roman" w:eastAsia="仿宋" w:hAnsi="Times New Roman" w:cs="Times New Roman"/>
                <w:b/>
                <w:bCs/>
                <w:noProof/>
                <w:kern w:val="44"/>
                <w:sz w:val="28"/>
                <w:szCs w:val="28"/>
              </w:rPr>
              <w:t>三、达标情况</w:t>
            </w:r>
            <w:r w:rsidR="00384238" w:rsidRPr="00384238">
              <w:rPr>
                <w:rFonts w:ascii="Times New Roman" w:eastAsia="仿宋" w:hAnsi="Times New Roman" w:cs="Times New Roman"/>
                <w:noProof/>
                <w:webHidden/>
                <w:sz w:val="28"/>
                <w:szCs w:val="28"/>
              </w:rPr>
              <w:tab/>
            </w:r>
            <w:r w:rsidR="00384238" w:rsidRPr="00384238">
              <w:rPr>
                <w:rFonts w:ascii="Times New Roman" w:eastAsia="仿宋" w:hAnsi="Times New Roman" w:cs="Times New Roman"/>
                <w:noProof/>
                <w:webHidden/>
                <w:sz w:val="28"/>
                <w:szCs w:val="28"/>
              </w:rPr>
              <w:fldChar w:fldCharType="begin"/>
            </w:r>
            <w:r w:rsidR="00384238" w:rsidRPr="00384238">
              <w:rPr>
                <w:rFonts w:ascii="Times New Roman" w:eastAsia="仿宋" w:hAnsi="Times New Roman" w:cs="Times New Roman"/>
                <w:noProof/>
                <w:webHidden/>
                <w:sz w:val="28"/>
                <w:szCs w:val="28"/>
              </w:rPr>
              <w:instrText xml:space="preserve"> PAGEREF _Toc126401593 \h </w:instrText>
            </w:r>
            <w:r w:rsidR="00384238" w:rsidRPr="00384238">
              <w:rPr>
                <w:rFonts w:ascii="Times New Roman" w:eastAsia="仿宋" w:hAnsi="Times New Roman" w:cs="Times New Roman"/>
                <w:noProof/>
                <w:webHidden/>
                <w:sz w:val="28"/>
                <w:szCs w:val="28"/>
              </w:rPr>
            </w:r>
            <w:r w:rsidR="00384238" w:rsidRPr="00384238">
              <w:rPr>
                <w:rFonts w:ascii="Times New Roman" w:eastAsia="仿宋" w:hAnsi="Times New Roman" w:cs="Times New Roman"/>
                <w:noProof/>
                <w:webHidden/>
                <w:sz w:val="28"/>
                <w:szCs w:val="28"/>
              </w:rPr>
              <w:fldChar w:fldCharType="separate"/>
            </w:r>
            <w:r w:rsidR="00997719">
              <w:rPr>
                <w:rFonts w:ascii="Times New Roman" w:eastAsia="仿宋" w:hAnsi="Times New Roman" w:cs="Times New Roman"/>
                <w:noProof/>
                <w:webHidden/>
                <w:sz w:val="28"/>
                <w:szCs w:val="28"/>
              </w:rPr>
              <w:t>1</w:t>
            </w:r>
            <w:r w:rsidR="00384238" w:rsidRPr="00384238">
              <w:rPr>
                <w:rFonts w:ascii="Times New Roman" w:eastAsia="仿宋" w:hAnsi="Times New Roman" w:cs="Times New Roman"/>
                <w:noProof/>
                <w:webHidden/>
                <w:sz w:val="28"/>
                <w:szCs w:val="28"/>
              </w:rPr>
              <w:fldChar w:fldCharType="end"/>
            </w:r>
          </w:hyperlink>
        </w:p>
        <w:p w14:paraId="560D0458" w14:textId="214A16E8" w:rsidR="00384238" w:rsidRPr="00384238" w:rsidRDefault="00D273E8">
          <w:pPr>
            <w:pStyle w:val="21"/>
            <w:rPr>
              <w:rFonts w:eastAsia="仿宋"/>
              <w:bCs w:val="0"/>
              <w:kern w:val="2"/>
              <w:sz w:val="28"/>
              <w:szCs w:val="28"/>
            </w:rPr>
          </w:pPr>
          <w:hyperlink w:anchor="_Toc126401594" w:history="1">
            <w:r w:rsidR="00384238" w:rsidRPr="00384238">
              <w:rPr>
                <w:rStyle w:val="ab"/>
                <w:rFonts w:eastAsia="仿宋"/>
                <w:b/>
                <w:sz w:val="28"/>
                <w:szCs w:val="28"/>
              </w:rPr>
              <w:t>（一）废水排污单位</w:t>
            </w:r>
            <w:r w:rsidR="00384238" w:rsidRPr="00384238">
              <w:rPr>
                <w:rFonts w:eastAsia="仿宋"/>
                <w:webHidden/>
                <w:sz w:val="28"/>
                <w:szCs w:val="28"/>
              </w:rPr>
              <w:tab/>
            </w:r>
            <w:r w:rsidR="00384238" w:rsidRPr="00384238">
              <w:rPr>
                <w:rFonts w:eastAsia="仿宋"/>
                <w:webHidden/>
                <w:sz w:val="28"/>
                <w:szCs w:val="28"/>
              </w:rPr>
              <w:fldChar w:fldCharType="begin"/>
            </w:r>
            <w:r w:rsidR="00384238" w:rsidRPr="00384238">
              <w:rPr>
                <w:rFonts w:eastAsia="仿宋"/>
                <w:webHidden/>
                <w:sz w:val="28"/>
                <w:szCs w:val="28"/>
              </w:rPr>
              <w:instrText xml:space="preserve"> PAGEREF _Toc126401594 \h </w:instrText>
            </w:r>
            <w:r w:rsidR="00384238" w:rsidRPr="00384238">
              <w:rPr>
                <w:rFonts w:eastAsia="仿宋"/>
                <w:webHidden/>
                <w:sz w:val="28"/>
                <w:szCs w:val="28"/>
              </w:rPr>
            </w:r>
            <w:r w:rsidR="00384238" w:rsidRPr="00384238">
              <w:rPr>
                <w:rFonts w:eastAsia="仿宋"/>
                <w:webHidden/>
                <w:sz w:val="28"/>
                <w:szCs w:val="28"/>
              </w:rPr>
              <w:fldChar w:fldCharType="separate"/>
            </w:r>
            <w:r w:rsidR="00997719">
              <w:rPr>
                <w:rFonts w:eastAsia="仿宋"/>
                <w:webHidden/>
                <w:sz w:val="28"/>
                <w:szCs w:val="28"/>
              </w:rPr>
              <w:t>1</w:t>
            </w:r>
            <w:r w:rsidR="00384238" w:rsidRPr="00384238">
              <w:rPr>
                <w:rFonts w:eastAsia="仿宋"/>
                <w:webHidden/>
                <w:sz w:val="28"/>
                <w:szCs w:val="28"/>
              </w:rPr>
              <w:fldChar w:fldCharType="end"/>
            </w:r>
          </w:hyperlink>
        </w:p>
        <w:p w14:paraId="4C6C945C" w14:textId="4A9D358E" w:rsidR="00384238" w:rsidRPr="00384238" w:rsidRDefault="00D273E8">
          <w:pPr>
            <w:pStyle w:val="21"/>
            <w:rPr>
              <w:rFonts w:eastAsia="仿宋"/>
              <w:bCs w:val="0"/>
              <w:kern w:val="2"/>
              <w:sz w:val="28"/>
              <w:szCs w:val="28"/>
            </w:rPr>
          </w:pPr>
          <w:hyperlink w:anchor="_Toc126401595" w:history="1">
            <w:r w:rsidR="00384238" w:rsidRPr="00384238">
              <w:rPr>
                <w:rStyle w:val="ab"/>
                <w:rFonts w:eastAsia="仿宋"/>
                <w:b/>
                <w:sz w:val="28"/>
                <w:szCs w:val="28"/>
              </w:rPr>
              <w:t>（二）集中式污水处理厂</w:t>
            </w:r>
            <w:r w:rsidR="00384238" w:rsidRPr="00384238">
              <w:rPr>
                <w:rFonts w:eastAsia="仿宋"/>
                <w:webHidden/>
                <w:sz w:val="28"/>
                <w:szCs w:val="28"/>
              </w:rPr>
              <w:tab/>
            </w:r>
            <w:r w:rsidR="00384238" w:rsidRPr="00384238">
              <w:rPr>
                <w:rFonts w:eastAsia="仿宋"/>
                <w:webHidden/>
                <w:sz w:val="28"/>
                <w:szCs w:val="28"/>
              </w:rPr>
              <w:fldChar w:fldCharType="begin"/>
            </w:r>
            <w:r w:rsidR="00384238" w:rsidRPr="00384238">
              <w:rPr>
                <w:rFonts w:eastAsia="仿宋"/>
                <w:webHidden/>
                <w:sz w:val="28"/>
                <w:szCs w:val="28"/>
              </w:rPr>
              <w:instrText xml:space="preserve"> PAGEREF _Toc126401595 \h </w:instrText>
            </w:r>
            <w:r w:rsidR="00384238" w:rsidRPr="00384238">
              <w:rPr>
                <w:rFonts w:eastAsia="仿宋"/>
                <w:webHidden/>
                <w:sz w:val="28"/>
                <w:szCs w:val="28"/>
              </w:rPr>
            </w:r>
            <w:r w:rsidR="00384238" w:rsidRPr="00384238">
              <w:rPr>
                <w:rFonts w:eastAsia="仿宋"/>
                <w:webHidden/>
                <w:sz w:val="28"/>
                <w:szCs w:val="28"/>
              </w:rPr>
              <w:fldChar w:fldCharType="separate"/>
            </w:r>
            <w:r w:rsidR="00997719">
              <w:rPr>
                <w:rFonts w:eastAsia="仿宋"/>
                <w:webHidden/>
                <w:sz w:val="28"/>
                <w:szCs w:val="28"/>
              </w:rPr>
              <w:t>5</w:t>
            </w:r>
            <w:r w:rsidR="00384238" w:rsidRPr="00384238">
              <w:rPr>
                <w:rFonts w:eastAsia="仿宋"/>
                <w:webHidden/>
                <w:sz w:val="28"/>
                <w:szCs w:val="28"/>
              </w:rPr>
              <w:fldChar w:fldCharType="end"/>
            </w:r>
          </w:hyperlink>
        </w:p>
        <w:p w14:paraId="7C8478F1" w14:textId="071276FB" w:rsidR="00384238" w:rsidRPr="00384238" w:rsidRDefault="00D273E8">
          <w:pPr>
            <w:pStyle w:val="21"/>
            <w:rPr>
              <w:rFonts w:eastAsia="仿宋"/>
              <w:bCs w:val="0"/>
              <w:kern w:val="2"/>
              <w:sz w:val="28"/>
              <w:szCs w:val="28"/>
            </w:rPr>
          </w:pPr>
          <w:hyperlink w:anchor="_Toc126401596" w:history="1">
            <w:r w:rsidR="00384238" w:rsidRPr="00384238">
              <w:rPr>
                <w:rStyle w:val="ab"/>
                <w:rFonts w:eastAsia="仿宋"/>
                <w:b/>
                <w:sz w:val="28"/>
                <w:szCs w:val="28"/>
              </w:rPr>
              <w:t>（三）废气排污单位</w:t>
            </w:r>
            <w:r w:rsidR="00384238" w:rsidRPr="00384238">
              <w:rPr>
                <w:rFonts w:eastAsia="仿宋"/>
                <w:webHidden/>
                <w:sz w:val="28"/>
                <w:szCs w:val="28"/>
              </w:rPr>
              <w:tab/>
            </w:r>
            <w:r w:rsidR="0003758F">
              <w:rPr>
                <w:rFonts w:eastAsia="仿宋"/>
                <w:webHidden/>
                <w:sz w:val="28"/>
                <w:szCs w:val="28"/>
              </w:rPr>
              <w:t>7</w:t>
            </w:r>
          </w:hyperlink>
        </w:p>
        <w:p w14:paraId="0120A87F" w14:textId="3A996302" w:rsidR="00384238" w:rsidRPr="00384238" w:rsidRDefault="00D273E8">
          <w:pPr>
            <w:pStyle w:val="21"/>
            <w:rPr>
              <w:rFonts w:eastAsia="仿宋"/>
              <w:bCs w:val="0"/>
              <w:kern w:val="2"/>
              <w:sz w:val="28"/>
              <w:szCs w:val="28"/>
            </w:rPr>
          </w:pPr>
          <w:hyperlink w:anchor="_Toc126401597" w:history="1">
            <w:r w:rsidR="00384238" w:rsidRPr="00384238">
              <w:rPr>
                <w:rStyle w:val="ab"/>
                <w:rFonts w:eastAsia="仿宋"/>
                <w:b/>
                <w:sz w:val="28"/>
                <w:szCs w:val="28"/>
              </w:rPr>
              <w:t>（四）涉重金属行业排污单位</w:t>
            </w:r>
            <w:r w:rsidR="00384238" w:rsidRPr="00384238">
              <w:rPr>
                <w:rFonts w:eastAsia="仿宋"/>
                <w:webHidden/>
                <w:sz w:val="28"/>
                <w:szCs w:val="28"/>
              </w:rPr>
              <w:tab/>
            </w:r>
            <w:r w:rsidR="00384238" w:rsidRPr="00384238">
              <w:rPr>
                <w:rFonts w:eastAsia="仿宋"/>
                <w:webHidden/>
                <w:sz w:val="28"/>
                <w:szCs w:val="28"/>
              </w:rPr>
              <w:fldChar w:fldCharType="begin"/>
            </w:r>
            <w:r w:rsidR="00384238" w:rsidRPr="00384238">
              <w:rPr>
                <w:rFonts w:eastAsia="仿宋"/>
                <w:webHidden/>
                <w:sz w:val="28"/>
                <w:szCs w:val="28"/>
              </w:rPr>
              <w:instrText xml:space="preserve"> PAGEREF _Toc126401597 \h </w:instrText>
            </w:r>
            <w:r w:rsidR="00384238" w:rsidRPr="00384238">
              <w:rPr>
                <w:rFonts w:eastAsia="仿宋"/>
                <w:webHidden/>
                <w:sz w:val="28"/>
                <w:szCs w:val="28"/>
              </w:rPr>
            </w:r>
            <w:r w:rsidR="00384238" w:rsidRPr="00384238">
              <w:rPr>
                <w:rFonts w:eastAsia="仿宋"/>
                <w:webHidden/>
                <w:sz w:val="28"/>
                <w:szCs w:val="28"/>
              </w:rPr>
              <w:fldChar w:fldCharType="separate"/>
            </w:r>
            <w:r w:rsidR="00997719">
              <w:rPr>
                <w:rFonts w:eastAsia="仿宋"/>
                <w:webHidden/>
                <w:sz w:val="28"/>
                <w:szCs w:val="28"/>
              </w:rPr>
              <w:t>11</w:t>
            </w:r>
            <w:r w:rsidR="00384238" w:rsidRPr="00384238">
              <w:rPr>
                <w:rFonts w:eastAsia="仿宋"/>
                <w:webHidden/>
                <w:sz w:val="28"/>
                <w:szCs w:val="28"/>
              </w:rPr>
              <w:fldChar w:fldCharType="end"/>
            </w:r>
          </w:hyperlink>
        </w:p>
        <w:p w14:paraId="5CECB5D3" w14:textId="7F389F2C" w:rsidR="00384238" w:rsidRPr="00384238" w:rsidRDefault="00D273E8">
          <w:pPr>
            <w:pStyle w:val="21"/>
            <w:rPr>
              <w:rFonts w:eastAsia="仿宋"/>
              <w:bCs w:val="0"/>
              <w:kern w:val="2"/>
              <w:sz w:val="28"/>
              <w:szCs w:val="28"/>
            </w:rPr>
          </w:pPr>
          <w:hyperlink w:anchor="_Toc126401598" w:history="1">
            <w:r w:rsidR="00384238" w:rsidRPr="00384238">
              <w:rPr>
                <w:rStyle w:val="ab"/>
                <w:rFonts w:eastAsia="仿宋"/>
                <w:b/>
                <w:sz w:val="28"/>
                <w:szCs w:val="28"/>
              </w:rPr>
              <w:t>（五）生活垃圾焚烧厂</w:t>
            </w:r>
            <w:r w:rsidR="00384238" w:rsidRPr="00384238">
              <w:rPr>
                <w:rFonts w:eastAsia="仿宋"/>
                <w:webHidden/>
                <w:sz w:val="28"/>
                <w:szCs w:val="28"/>
              </w:rPr>
              <w:tab/>
            </w:r>
            <w:r w:rsidR="00384238" w:rsidRPr="00384238">
              <w:rPr>
                <w:rFonts w:eastAsia="仿宋"/>
                <w:webHidden/>
                <w:sz w:val="28"/>
                <w:szCs w:val="28"/>
              </w:rPr>
              <w:fldChar w:fldCharType="begin"/>
            </w:r>
            <w:r w:rsidR="00384238" w:rsidRPr="00384238">
              <w:rPr>
                <w:rFonts w:eastAsia="仿宋"/>
                <w:webHidden/>
                <w:sz w:val="28"/>
                <w:szCs w:val="28"/>
              </w:rPr>
              <w:instrText xml:space="preserve"> PAGEREF _Toc126401598 \h </w:instrText>
            </w:r>
            <w:r w:rsidR="00384238" w:rsidRPr="00384238">
              <w:rPr>
                <w:rFonts w:eastAsia="仿宋"/>
                <w:webHidden/>
                <w:sz w:val="28"/>
                <w:szCs w:val="28"/>
              </w:rPr>
            </w:r>
            <w:r w:rsidR="00384238" w:rsidRPr="00384238">
              <w:rPr>
                <w:rFonts w:eastAsia="仿宋"/>
                <w:webHidden/>
                <w:sz w:val="28"/>
                <w:szCs w:val="28"/>
              </w:rPr>
              <w:fldChar w:fldCharType="separate"/>
            </w:r>
            <w:r w:rsidR="00997719">
              <w:rPr>
                <w:rFonts w:eastAsia="仿宋"/>
                <w:webHidden/>
                <w:sz w:val="28"/>
                <w:szCs w:val="28"/>
              </w:rPr>
              <w:t>12</w:t>
            </w:r>
            <w:r w:rsidR="00384238" w:rsidRPr="00384238">
              <w:rPr>
                <w:rFonts w:eastAsia="仿宋"/>
                <w:webHidden/>
                <w:sz w:val="28"/>
                <w:szCs w:val="28"/>
              </w:rPr>
              <w:fldChar w:fldCharType="end"/>
            </w:r>
          </w:hyperlink>
        </w:p>
        <w:p w14:paraId="00084782" w14:textId="2C7A4819" w:rsidR="00384238" w:rsidRPr="00384238" w:rsidRDefault="00D273E8">
          <w:pPr>
            <w:pStyle w:val="21"/>
            <w:rPr>
              <w:rFonts w:eastAsia="仿宋"/>
              <w:bCs w:val="0"/>
              <w:kern w:val="2"/>
              <w:sz w:val="28"/>
              <w:szCs w:val="28"/>
            </w:rPr>
          </w:pPr>
          <w:hyperlink w:anchor="_Toc126401599" w:history="1">
            <w:r w:rsidR="00384238" w:rsidRPr="00384238">
              <w:rPr>
                <w:rStyle w:val="ab"/>
                <w:rFonts w:eastAsia="仿宋"/>
                <w:b/>
                <w:sz w:val="28"/>
                <w:szCs w:val="28"/>
              </w:rPr>
              <w:t>（六）生活垃圾填埋场</w:t>
            </w:r>
            <w:r w:rsidR="00384238" w:rsidRPr="00384238">
              <w:rPr>
                <w:rFonts w:eastAsia="仿宋"/>
                <w:webHidden/>
                <w:sz w:val="28"/>
                <w:szCs w:val="28"/>
              </w:rPr>
              <w:tab/>
            </w:r>
            <w:r w:rsidR="00384238" w:rsidRPr="00384238">
              <w:rPr>
                <w:rFonts w:eastAsia="仿宋"/>
                <w:webHidden/>
                <w:sz w:val="28"/>
                <w:szCs w:val="28"/>
              </w:rPr>
              <w:fldChar w:fldCharType="begin"/>
            </w:r>
            <w:r w:rsidR="00384238" w:rsidRPr="00384238">
              <w:rPr>
                <w:rFonts w:eastAsia="仿宋"/>
                <w:webHidden/>
                <w:sz w:val="28"/>
                <w:szCs w:val="28"/>
              </w:rPr>
              <w:instrText xml:space="preserve"> PAGEREF _Toc126401599 \h </w:instrText>
            </w:r>
            <w:r w:rsidR="00384238" w:rsidRPr="00384238">
              <w:rPr>
                <w:rFonts w:eastAsia="仿宋"/>
                <w:webHidden/>
                <w:sz w:val="28"/>
                <w:szCs w:val="28"/>
              </w:rPr>
            </w:r>
            <w:r w:rsidR="00384238" w:rsidRPr="00384238">
              <w:rPr>
                <w:rFonts w:eastAsia="仿宋"/>
                <w:webHidden/>
                <w:sz w:val="28"/>
                <w:szCs w:val="28"/>
              </w:rPr>
              <w:fldChar w:fldCharType="separate"/>
            </w:r>
            <w:r w:rsidR="00997719">
              <w:rPr>
                <w:rFonts w:eastAsia="仿宋"/>
                <w:webHidden/>
                <w:sz w:val="28"/>
                <w:szCs w:val="28"/>
              </w:rPr>
              <w:t>13</w:t>
            </w:r>
            <w:r w:rsidR="00384238" w:rsidRPr="00384238">
              <w:rPr>
                <w:rFonts w:eastAsia="仿宋"/>
                <w:webHidden/>
                <w:sz w:val="28"/>
                <w:szCs w:val="28"/>
              </w:rPr>
              <w:fldChar w:fldCharType="end"/>
            </w:r>
          </w:hyperlink>
        </w:p>
        <w:p w14:paraId="58ABFBB9" w14:textId="2DB63A93" w:rsidR="00384238" w:rsidRPr="00384238" w:rsidRDefault="00D273E8">
          <w:pPr>
            <w:pStyle w:val="21"/>
            <w:rPr>
              <w:rFonts w:eastAsia="仿宋"/>
              <w:bCs w:val="0"/>
              <w:kern w:val="2"/>
              <w:sz w:val="28"/>
              <w:szCs w:val="28"/>
            </w:rPr>
          </w:pPr>
          <w:hyperlink w:anchor="_Toc126401600" w:history="1">
            <w:r w:rsidR="00384238" w:rsidRPr="00384238">
              <w:rPr>
                <w:rStyle w:val="ab"/>
                <w:rFonts w:eastAsia="仿宋"/>
                <w:b/>
                <w:sz w:val="28"/>
                <w:szCs w:val="28"/>
              </w:rPr>
              <w:t>（七）尾矿库</w:t>
            </w:r>
            <w:r w:rsidR="00384238" w:rsidRPr="00384238">
              <w:rPr>
                <w:rFonts w:eastAsia="仿宋"/>
                <w:webHidden/>
                <w:sz w:val="28"/>
                <w:szCs w:val="28"/>
              </w:rPr>
              <w:tab/>
            </w:r>
            <w:r w:rsidR="00456B4D">
              <w:rPr>
                <w:rFonts w:eastAsia="仿宋"/>
                <w:webHidden/>
                <w:sz w:val="28"/>
                <w:szCs w:val="28"/>
              </w:rPr>
              <w:t>13</w:t>
            </w:r>
          </w:hyperlink>
        </w:p>
        <w:p w14:paraId="58E4DC92" w14:textId="50BE5D3E" w:rsidR="00384238" w:rsidRPr="00384238" w:rsidRDefault="00D273E8">
          <w:pPr>
            <w:pStyle w:val="11"/>
            <w:tabs>
              <w:tab w:val="right" w:leader="dot" w:pos="8296"/>
            </w:tabs>
            <w:rPr>
              <w:rFonts w:ascii="Times New Roman" w:eastAsia="仿宋" w:hAnsi="Times New Roman" w:cs="Times New Roman"/>
              <w:noProof/>
              <w:sz w:val="28"/>
              <w:szCs w:val="28"/>
            </w:rPr>
          </w:pPr>
          <w:hyperlink w:anchor="_Toc126401601" w:history="1">
            <w:r w:rsidR="00384238" w:rsidRPr="00384238">
              <w:rPr>
                <w:rStyle w:val="ab"/>
                <w:rFonts w:ascii="Times New Roman" w:eastAsia="仿宋" w:hAnsi="Times New Roman" w:cs="Times New Roman"/>
                <w:b/>
                <w:bCs/>
                <w:noProof/>
                <w:kern w:val="44"/>
                <w:sz w:val="28"/>
                <w:szCs w:val="28"/>
              </w:rPr>
              <w:t>四、下一步建议</w:t>
            </w:r>
            <w:r w:rsidR="00384238" w:rsidRPr="00384238">
              <w:rPr>
                <w:rFonts w:ascii="Times New Roman" w:eastAsia="仿宋" w:hAnsi="Times New Roman" w:cs="Times New Roman"/>
                <w:noProof/>
                <w:webHidden/>
                <w:sz w:val="28"/>
                <w:szCs w:val="28"/>
              </w:rPr>
              <w:tab/>
            </w:r>
            <w:r w:rsidR="00384238" w:rsidRPr="00384238">
              <w:rPr>
                <w:rFonts w:ascii="Times New Roman" w:eastAsia="仿宋" w:hAnsi="Times New Roman" w:cs="Times New Roman"/>
                <w:noProof/>
                <w:webHidden/>
                <w:sz w:val="28"/>
                <w:szCs w:val="28"/>
              </w:rPr>
              <w:fldChar w:fldCharType="begin"/>
            </w:r>
            <w:r w:rsidR="00384238" w:rsidRPr="00384238">
              <w:rPr>
                <w:rFonts w:ascii="Times New Roman" w:eastAsia="仿宋" w:hAnsi="Times New Roman" w:cs="Times New Roman"/>
                <w:noProof/>
                <w:webHidden/>
                <w:sz w:val="28"/>
                <w:szCs w:val="28"/>
              </w:rPr>
              <w:instrText xml:space="preserve"> PAGEREF _Toc126401601 \h </w:instrText>
            </w:r>
            <w:r w:rsidR="00384238" w:rsidRPr="00384238">
              <w:rPr>
                <w:rFonts w:ascii="Times New Roman" w:eastAsia="仿宋" w:hAnsi="Times New Roman" w:cs="Times New Roman"/>
                <w:noProof/>
                <w:webHidden/>
                <w:sz w:val="28"/>
                <w:szCs w:val="28"/>
              </w:rPr>
            </w:r>
            <w:r w:rsidR="00384238" w:rsidRPr="00384238">
              <w:rPr>
                <w:rFonts w:ascii="Times New Roman" w:eastAsia="仿宋" w:hAnsi="Times New Roman" w:cs="Times New Roman"/>
                <w:noProof/>
                <w:webHidden/>
                <w:sz w:val="28"/>
                <w:szCs w:val="28"/>
              </w:rPr>
              <w:fldChar w:fldCharType="separate"/>
            </w:r>
            <w:r w:rsidR="00997719">
              <w:rPr>
                <w:rFonts w:ascii="Times New Roman" w:eastAsia="仿宋" w:hAnsi="Times New Roman" w:cs="Times New Roman"/>
                <w:noProof/>
                <w:webHidden/>
                <w:sz w:val="28"/>
                <w:szCs w:val="28"/>
              </w:rPr>
              <w:t>14</w:t>
            </w:r>
            <w:r w:rsidR="00384238" w:rsidRPr="00384238">
              <w:rPr>
                <w:rFonts w:ascii="Times New Roman" w:eastAsia="仿宋" w:hAnsi="Times New Roman" w:cs="Times New Roman"/>
                <w:noProof/>
                <w:webHidden/>
                <w:sz w:val="28"/>
                <w:szCs w:val="28"/>
              </w:rPr>
              <w:fldChar w:fldCharType="end"/>
            </w:r>
          </w:hyperlink>
        </w:p>
        <w:p w14:paraId="5EEEB7E3" w14:textId="1163DA84" w:rsidR="00384238" w:rsidRPr="00384238" w:rsidRDefault="00D273E8">
          <w:pPr>
            <w:pStyle w:val="11"/>
            <w:tabs>
              <w:tab w:val="right" w:leader="dot" w:pos="8296"/>
            </w:tabs>
            <w:rPr>
              <w:rFonts w:ascii="Times New Roman" w:eastAsia="仿宋" w:hAnsi="Times New Roman" w:cs="Times New Roman"/>
              <w:noProof/>
              <w:sz w:val="28"/>
              <w:szCs w:val="28"/>
            </w:rPr>
          </w:pPr>
          <w:hyperlink w:anchor="_Toc126401602" w:history="1">
            <w:r w:rsidR="00384238" w:rsidRPr="00384238">
              <w:rPr>
                <w:rStyle w:val="ab"/>
                <w:rFonts w:ascii="Times New Roman" w:eastAsia="仿宋" w:hAnsi="Times New Roman" w:cs="Times New Roman"/>
                <w:b/>
                <w:bCs/>
                <w:noProof/>
                <w:kern w:val="0"/>
                <w:sz w:val="28"/>
                <w:szCs w:val="28"/>
              </w:rPr>
              <w:t>附录一：监测项目、监测频次以及评价标准</w:t>
            </w:r>
            <w:r w:rsidR="00384238" w:rsidRPr="00384238">
              <w:rPr>
                <w:rFonts w:ascii="Times New Roman" w:eastAsia="仿宋" w:hAnsi="Times New Roman" w:cs="Times New Roman"/>
                <w:noProof/>
                <w:webHidden/>
                <w:sz w:val="28"/>
                <w:szCs w:val="28"/>
              </w:rPr>
              <w:tab/>
            </w:r>
            <w:r w:rsidR="00384238" w:rsidRPr="00384238">
              <w:rPr>
                <w:rFonts w:ascii="Times New Roman" w:eastAsia="仿宋" w:hAnsi="Times New Roman" w:cs="Times New Roman"/>
                <w:noProof/>
                <w:webHidden/>
                <w:sz w:val="28"/>
                <w:szCs w:val="28"/>
              </w:rPr>
              <w:fldChar w:fldCharType="begin"/>
            </w:r>
            <w:r w:rsidR="00384238" w:rsidRPr="00384238">
              <w:rPr>
                <w:rFonts w:ascii="Times New Roman" w:eastAsia="仿宋" w:hAnsi="Times New Roman" w:cs="Times New Roman"/>
                <w:noProof/>
                <w:webHidden/>
                <w:sz w:val="28"/>
                <w:szCs w:val="28"/>
              </w:rPr>
              <w:instrText xml:space="preserve"> PAGEREF _Toc126401602 \h </w:instrText>
            </w:r>
            <w:r w:rsidR="00384238" w:rsidRPr="00384238">
              <w:rPr>
                <w:rFonts w:ascii="Times New Roman" w:eastAsia="仿宋" w:hAnsi="Times New Roman" w:cs="Times New Roman"/>
                <w:noProof/>
                <w:webHidden/>
                <w:sz w:val="28"/>
                <w:szCs w:val="28"/>
              </w:rPr>
            </w:r>
            <w:r w:rsidR="00384238" w:rsidRPr="00384238">
              <w:rPr>
                <w:rFonts w:ascii="Times New Roman" w:eastAsia="仿宋" w:hAnsi="Times New Roman" w:cs="Times New Roman"/>
                <w:noProof/>
                <w:webHidden/>
                <w:sz w:val="28"/>
                <w:szCs w:val="28"/>
              </w:rPr>
              <w:fldChar w:fldCharType="separate"/>
            </w:r>
            <w:r w:rsidR="00997719">
              <w:rPr>
                <w:rFonts w:ascii="Times New Roman" w:eastAsia="仿宋" w:hAnsi="Times New Roman" w:cs="Times New Roman"/>
                <w:noProof/>
                <w:webHidden/>
                <w:sz w:val="28"/>
                <w:szCs w:val="28"/>
              </w:rPr>
              <w:t>24</w:t>
            </w:r>
            <w:r w:rsidR="00384238" w:rsidRPr="00384238">
              <w:rPr>
                <w:rFonts w:ascii="Times New Roman" w:eastAsia="仿宋" w:hAnsi="Times New Roman" w:cs="Times New Roman"/>
                <w:noProof/>
                <w:webHidden/>
                <w:sz w:val="28"/>
                <w:szCs w:val="28"/>
              </w:rPr>
              <w:fldChar w:fldCharType="end"/>
            </w:r>
          </w:hyperlink>
        </w:p>
        <w:p w14:paraId="07115A0F" w14:textId="5021E880" w:rsidR="00384238" w:rsidRPr="00384238" w:rsidRDefault="00D273E8">
          <w:pPr>
            <w:pStyle w:val="11"/>
            <w:tabs>
              <w:tab w:val="right" w:leader="dot" w:pos="8296"/>
            </w:tabs>
            <w:rPr>
              <w:rFonts w:ascii="Times New Roman" w:eastAsia="仿宋" w:hAnsi="Times New Roman" w:cs="Times New Roman"/>
              <w:noProof/>
              <w:sz w:val="28"/>
              <w:szCs w:val="28"/>
            </w:rPr>
          </w:pPr>
          <w:hyperlink w:anchor="_Toc126401603" w:history="1">
            <w:r w:rsidR="00384238" w:rsidRPr="00384238">
              <w:rPr>
                <w:rStyle w:val="ab"/>
                <w:rFonts w:ascii="Times New Roman" w:eastAsia="仿宋" w:hAnsi="Times New Roman" w:cs="Times New Roman"/>
                <w:b/>
                <w:bCs/>
                <w:noProof/>
                <w:kern w:val="0"/>
                <w:sz w:val="28"/>
                <w:szCs w:val="28"/>
              </w:rPr>
              <w:t>附录二：达标评价与达标率计算</w:t>
            </w:r>
            <w:r w:rsidR="003D30D8">
              <w:rPr>
                <w:rStyle w:val="ab"/>
                <w:rFonts w:ascii="Times New Roman" w:eastAsia="仿宋" w:hAnsi="Times New Roman" w:cs="Times New Roman" w:hint="eastAsia"/>
                <w:b/>
                <w:bCs/>
                <w:noProof/>
                <w:kern w:val="0"/>
                <w:sz w:val="28"/>
                <w:szCs w:val="28"/>
              </w:rPr>
              <w:t>方法</w:t>
            </w:r>
            <w:r w:rsidR="00384238" w:rsidRPr="00384238">
              <w:rPr>
                <w:rFonts w:ascii="Times New Roman" w:eastAsia="仿宋" w:hAnsi="Times New Roman" w:cs="Times New Roman"/>
                <w:noProof/>
                <w:webHidden/>
                <w:sz w:val="28"/>
                <w:szCs w:val="28"/>
              </w:rPr>
              <w:tab/>
            </w:r>
            <w:r w:rsidR="00384238" w:rsidRPr="00384238">
              <w:rPr>
                <w:rFonts w:ascii="Times New Roman" w:eastAsia="仿宋" w:hAnsi="Times New Roman" w:cs="Times New Roman"/>
                <w:noProof/>
                <w:webHidden/>
                <w:sz w:val="28"/>
                <w:szCs w:val="28"/>
              </w:rPr>
              <w:fldChar w:fldCharType="begin"/>
            </w:r>
            <w:r w:rsidR="00384238" w:rsidRPr="00384238">
              <w:rPr>
                <w:rFonts w:ascii="Times New Roman" w:eastAsia="仿宋" w:hAnsi="Times New Roman" w:cs="Times New Roman"/>
                <w:noProof/>
                <w:webHidden/>
                <w:sz w:val="28"/>
                <w:szCs w:val="28"/>
              </w:rPr>
              <w:instrText xml:space="preserve"> PAGEREF _Toc126401603 \h </w:instrText>
            </w:r>
            <w:r w:rsidR="00384238" w:rsidRPr="00384238">
              <w:rPr>
                <w:rFonts w:ascii="Times New Roman" w:eastAsia="仿宋" w:hAnsi="Times New Roman" w:cs="Times New Roman"/>
                <w:noProof/>
                <w:webHidden/>
                <w:sz w:val="28"/>
                <w:szCs w:val="28"/>
              </w:rPr>
            </w:r>
            <w:r w:rsidR="00384238" w:rsidRPr="00384238">
              <w:rPr>
                <w:rFonts w:ascii="Times New Roman" w:eastAsia="仿宋" w:hAnsi="Times New Roman" w:cs="Times New Roman"/>
                <w:noProof/>
                <w:webHidden/>
                <w:sz w:val="28"/>
                <w:szCs w:val="28"/>
              </w:rPr>
              <w:fldChar w:fldCharType="separate"/>
            </w:r>
            <w:r w:rsidR="00997719">
              <w:rPr>
                <w:rFonts w:ascii="Times New Roman" w:eastAsia="仿宋" w:hAnsi="Times New Roman" w:cs="Times New Roman"/>
                <w:noProof/>
                <w:webHidden/>
                <w:sz w:val="28"/>
                <w:szCs w:val="28"/>
              </w:rPr>
              <w:t>25</w:t>
            </w:r>
            <w:r w:rsidR="00384238" w:rsidRPr="00384238">
              <w:rPr>
                <w:rFonts w:ascii="Times New Roman" w:eastAsia="仿宋" w:hAnsi="Times New Roman" w:cs="Times New Roman"/>
                <w:noProof/>
                <w:webHidden/>
                <w:sz w:val="28"/>
                <w:szCs w:val="28"/>
              </w:rPr>
              <w:fldChar w:fldCharType="end"/>
            </w:r>
          </w:hyperlink>
        </w:p>
        <w:p w14:paraId="1C4E3B27" w14:textId="3FB895B7" w:rsidR="001D68F7" w:rsidRPr="001D68F7" w:rsidRDefault="001D68F7">
          <w:pPr>
            <w:rPr>
              <w:rFonts w:ascii="Times New Roman" w:eastAsia="仿宋" w:hAnsi="Times New Roman" w:cs="Times New Roman"/>
              <w:sz w:val="28"/>
              <w:szCs w:val="28"/>
            </w:rPr>
          </w:pPr>
          <w:r w:rsidRPr="00384238">
            <w:rPr>
              <w:rFonts w:ascii="Times New Roman" w:eastAsia="仿宋" w:hAnsi="Times New Roman" w:cs="Times New Roman"/>
              <w:b/>
              <w:bCs/>
              <w:sz w:val="28"/>
              <w:szCs w:val="28"/>
              <w:lang w:val="zh-CN"/>
            </w:rPr>
            <w:fldChar w:fldCharType="end"/>
          </w:r>
        </w:p>
      </w:sdtContent>
    </w:sdt>
    <w:p w14:paraId="7DF1C131" w14:textId="77777777" w:rsidR="00894AD2" w:rsidRPr="00894AD2" w:rsidRDefault="00894AD2" w:rsidP="00894AD2">
      <w:pPr>
        <w:rPr>
          <w:rFonts w:ascii="Times New Roman" w:eastAsia="宋体" w:hAnsi="Times New Roman" w:cs="Times New Roman"/>
          <w:szCs w:val="24"/>
        </w:rPr>
      </w:pPr>
    </w:p>
    <w:p w14:paraId="3E8D5D8D" w14:textId="77777777" w:rsidR="00894AD2" w:rsidRPr="00894AD2" w:rsidRDefault="00894AD2" w:rsidP="00894AD2">
      <w:pPr>
        <w:rPr>
          <w:rFonts w:ascii="Times New Roman" w:eastAsia="宋体" w:hAnsi="Times New Roman" w:cs="Times New Roman"/>
          <w:szCs w:val="24"/>
        </w:rPr>
      </w:pPr>
    </w:p>
    <w:p w14:paraId="60A6DACF" w14:textId="58F6C0C5" w:rsidR="00894AD2" w:rsidRPr="00894AD2" w:rsidRDefault="00894AD2" w:rsidP="001D68F7">
      <w:pPr>
        <w:tabs>
          <w:tab w:val="right" w:leader="dot" w:pos="8302"/>
        </w:tabs>
        <w:jc w:val="distribute"/>
        <w:rPr>
          <w:rFonts w:ascii="Times New Roman" w:eastAsia="宋体" w:hAnsi="Times New Roman" w:cs="Times New Roman"/>
          <w:noProof/>
          <w:webHidden/>
          <w:kern w:val="0"/>
          <w:sz w:val="28"/>
          <w:szCs w:val="28"/>
        </w:rPr>
      </w:pPr>
      <w:r w:rsidRPr="00894AD2">
        <w:rPr>
          <w:rFonts w:ascii="Times New Roman" w:eastAsia="黑体" w:hAnsi="Times New Roman" w:cs="Times New Roman"/>
          <w:bCs/>
          <w:noProof/>
          <w:kern w:val="44"/>
          <w:sz w:val="28"/>
          <w:szCs w:val="28"/>
        </w:rPr>
        <w:fldChar w:fldCharType="begin"/>
      </w:r>
      <w:r w:rsidRPr="00894AD2">
        <w:rPr>
          <w:rFonts w:ascii="Times New Roman" w:eastAsia="黑体" w:hAnsi="Times New Roman" w:cs="Times New Roman"/>
          <w:bCs/>
          <w:noProof/>
          <w:kern w:val="44"/>
          <w:sz w:val="28"/>
          <w:szCs w:val="28"/>
        </w:rPr>
        <w:instrText xml:space="preserve"> TOC \o "1-2" \h \z \u </w:instrText>
      </w:r>
      <w:r w:rsidRPr="00894AD2">
        <w:rPr>
          <w:rFonts w:ascii="Times New Roman" w:eastAsia="黑体" w:hAnsi="Times New Roman" w:cs="Times New Roman"/>
          <w:bCs/>
          <w:noProof/>
          <w:kern w:val="44"/>
          <w:sz w:val="28"/>
          <w:szCs w:val="28"/>
        </w:rPr>
        <w:fldChar w:fldCharType="separate"/>
      </w:r>
    </w:p>
    <w:p w14:paraId="7C252903" w14:textId="77777777" w:rsidR="00894AD2" w:rsidRPr="00894AD2" w:rsidRDefault="00894AD2" w:rsidP="00894AD2">
      <w:pPr>
        <w:rPr>
          <w:rFonts w:ascii="Times New Roman" w:eastAsia="宋体" w:hAnsi="Times New Roman" w:cs="Times New Roman"/>
          <w:webHidden/>
          <w:szCs w:val="24"/>
        </w:rPr>
      </w:pPr>
    </w:p>
    <w:p w14:paraId="38A354EC" w14:textId="77777777" w:rsidR="00894AD2" w:rsidRPr="00894AD2" w:rsidRDefault="00894AD2" w:rsidP="00894AD2">
      <w:pPr>
        <w:jc w:val="distribute"/>
        <w:rPr>
          <w:rFonts w:ascii="Times New Roman" w:eastAsia="宋体" w:hAnsi="Times New Roman" w:cs="Times New Roman"/>
          <w:szCs w:val="24"/>
        </w:rPr>
      </w:pPr>
    </w:p>
    <w:p w14:paraId="6CFDACE3" w14:textId="77777777" w:rsidR="00894AD2" w:rsidRPr="00894AD2" w:rsidRDefault="00894AD2" w:rsidP="00894AD2">
      <w:pPr>
        <w:rPr>
          <w:rFonts w:ascii="Times New Roman" w:eastAsia="宋体" w:hAnsi="Times New Roman" w:cs="Times New Roman"/>
          <w:szCs w:val="24"/>
        </w:rPr>
      </w:pPr>
      <w:r w:rsidRPr="00894AD2">
        <w:rPr>
          <w:rFonts w:ascii="Times New Roman" w:eastAsia="宋体" w:hAnsi="Times New Roman" w:cs="Times New Roman"/>
          <w:sz w:val="28"/>
          <w:szCs w:val="28"/>
        </w:rPr>
        <w:fldChar w:fldCharType="end"/>
      </w:r>
    </w:p>
    <w:p w14:paraId="4E311944" w14:textId="77777777" w:rsidR="00CE5A9B" w:rsidRDefault="00CE5A9B" w:rsidP="002A52E0">
      <w:pPr>
        <w:widowControl/>
        <w:spacing w:afterLines="50" w:after="156"/>
        <w:jc w:val="center"/>
        <w:rPr>
          <w:rFonts w:ascii="Times New Roman" w:eastAsia="方正小标宋简体" w:hAnsi="Times New Roman" w:cs="Times New Roman"/>
          <w:bCs/>
          <w:kern w:val="44"/>
          <w:sz w:val="32"/>
          <w:szCs w:val="32"/>
        </w:rPr>
        <w:sectPr w:rsidR="00CE5A9B" w:rsidSect="00E471FD">
          <w:footerReference w:type="default" r:id="rId10"/>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pgNumType w:fmt="lowerRoman" w:start="1"/>
          <w:cols w:space="425"/>
          <w:docGrid w:type="lines" w:linePitch="312"/>
        </w:sectPr>
      </w:pPr>
    </w:p>
    <w:p w14:paraId="6F7CD4C9" w14:textId="79C04ADA" w:rsidR="001953FF" w:rsidRPr="00E95B6F" w:rsidRDefault="00A06EB1" w:rsidP="002A52E0">
      <w:pPr>
        <w:widowControl/>
        <w:spacing w:afterLines="50" w:after="156"/>
        <w:jc w:val="center"/>
        <w:rPr>
          <w:rFonts w:ascii="Times New Roman" w:eastAsia="方正小标宋简体" w:hAnsi="Times New Roman" w:cs="Times New Roman"/>
          <w:bCs/>
          <w:kern w:val="44"/>
          <w:sz w:val="32"/>
          <w:szCs w:val="32"/>
        </w:rPr>
      </w:pPr>
      <w:r w:rsidRPr="00E95B6F">
        <w:rPr>
          <w:rFonts w:ascii="Times New Roman" w:eastAsia="方正小标宋简体" w:hAnsi="Times New Roman" w:cs="Times New Roman"/>
          <w:bCs/>
          <w:kern w:val="44"/>
          <w:sz w:val="32"/>
          <w:szCs w:val="32"/>
        </w:rPr>
        <w:lastRenderedPageBreak/>
        <w:t>20</w:t>
      </w:r>
      <w:r w:rsidR="00C62AB3" w:rsidRPr="00E95B6F">
        <w:rPr>
          <w:rFonts w:ascii="Times New Roman" w:eastAsia="方正小标宋简体" w:hAnsi="Times New Roman" w:cs="Times New Roman"/>
          <w:bCs/>
          <w:kern w:val="44"/>
          <w:sz w:val="32"/>
          <w:szCs w:val="32"/>
        </w:rPr>
        <w:t>2</w:t>
      </w:r>
      <w:r w:rsidR="00DB2436">
        <w:rPr>
          <w:rFonts w:ascii="Times New Roman" w:eastAsia="方正小标宋简体" w:hAnsi="Times New Roman" w:cs="Times New Roman"/>
          <w:bCs/>
          <w:kern w:val="44"/>
          <w:sz w:val="32"/>
          <w:szCs w:val="32"/>
        </w:rPr>
        <w:t>3</w:t>
      </w:r>
      <w:r w:rsidR="001953FF" w:rsidRPr="00E95B6F">
        <w:rPr>
          <w:rFonts w:ascii="Times New Roman" w:eastAsia="方正小标宋简体" w:hAnsi="Times New Roman" w:cs="Times New Roman"/>
          <w:bCs/>
          <w:kern w:val="44"/>
          <w:sz w:val="32"/>
          <w:szCs w:val="32"/>
        </w:rPr>
        <w:t>年</w:t>
      </w:r>
      <w:r w:rsidR="00C62AB3" w:rsidRPr="00E95B6F">
        <w:rPr>
          <w:rFonts w:ascii="Times New Roman" w:eastAsia="方正小标宋简体" w:hAnsi="Times New Roman" w:cs="Times New Roman"/>
          <w:bCs/>
          <w:kern w:val="44"/>
          <w:sz w:val="32"/>
          <w:szCs w:val="32"/>
        </w:rPr>
        <w:t>浙江省</w:t>
      </w:r>
      <w:r w:rsidR="001953FF" w:rsidRPr="00E95B6F">
        <w:rPr>
          <w:rFonts w:ascii="Times New Roman" w:eastAsia="方正小标宋简体" w:hAnsi="Times New Roman" w:cs="Times New Roman"/>
          <w:bCs/>
          <w:kern w:val="44"/>
          <w:sz w:val="32"/>
          <w:szCs w:val="32"/>
        </w:rPr>
        <w:t>排污单位</w:t>
      </w:r>
      <w:r w:rsidR="00D70507">
        <w:rPr>
          <w:rFonts w:ascii="Times New Roman" w:eastAsia="方正小标宋简体" w:hAnsi="Times New Roman" w:cs="Times New Roman" w:hint="eastAsia"/>
          <w:bCs/>
          <w:kern w:val="44"/>
          <w:sz w:val="32"/>
          <w:szCs w:val="32"/>
        </w:rPr>
        <w:t>执法</w:t>
      </w:r>
      <w:r w:rsidR="001953FF" w:rsidRPr="00E95B6F">
        <w:rPr>
          <w:rFonts w:ascii="Times New Roman" w:eastAsia="方正小标宋简体" w:hAnsi="Times New Roman" w:cs="Times New Roman"/>
          <w:bCs/>
          <w:kern w:val="44"/>
          <w:sz w:val="32"/>
          <w:szCs w:val="32"/>
        </w:rPr>
        <w:t>监测评价报告</w:t>
      </w:r>
    </w:p>
    <w:p w14:paraId="3C8722F9" w14:textId="7231863A" w:rsidR="00A819D2" w:rsidRPr="00E95B6F" w:rsidRDefault="00FF4B0B" w:rsidP="00F70D6C">
      <w:pPr>
        <w:spacing w:line="56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bCs/>
          <w:kern w:val="44"/>
          <w:sz w:val="28"/>
          <w:szCs w:val="28"/>
        </w:rPr>
        <w:t>202</w:t>
      </w:r>
      <w:r w:rsidR="00DB2436">
        <w:rPr>
          <w:rFonts w:ascii="Times New Roman" w:eastAsia="仿宋_GB2312" w:hAnsi="Times New Roman" w:cs="Times New Roman"/>
          <w:bCs/>
          <w:kern w:val="44"/>
          <w:sz w:val="28"/>
          <w:szCs w:val="28"/>
        </w:rPr>
        <w:t>3</w:t>
      </w:r>
      <w:r w:rsidR="00E43741">
        <w:rPr>
          <w:rFonts w:ascii="Times New Roman" w:eastAsia="仿宋_GB2312" w:hAnsi="Times New Roman" w:cs="Times New Roman"/>
          <w:bCs/>
          <w:kern w:val="44"/>
          <w:sz w:val="28"/>
          <w:szCs w:val="28"/>
        </w:rPr>
        <w:t>年，全省各级生态环境监测部门按照</w:t>
      </w:r>
      <w:r w:rsidR="00E43741">
        <w:rPr>
          <w:rFonts w:ascii="Times New Roman" w:eastAsia="仿宋_GB2312" w:hAnsi="Times New Roman" w:cs="Times New Roman" w:hint="eastAsia"/>
          <w:bCs/>
          <w:kern w:val="44"/>
          <w:sz w:val="28"/>
          <w:szCs w:val="28"/>
        </w:rPr>
        <w:t>国家</w:t>
      </w:r>
      <w:r w:rsidR="008C0C18" w:rsidRPr="00E95B6F">
        <w:rPr>
          <w:rFonts w:ascii="Times New Roman" w:eastAsia="仿宋_GB2312" w:hAnsi="Times New Roman" w:cs="Times New Roman"/>
          <w:bCs/>
          <w:kern w:val="44"/>
          <w:sz w:val="28"/>
          <w:szCs w:val="28"/>
        </w:rPr>
        <w:t>生态环境</w:t>
      </w:r>
      <w:r w:rsidR="00E43741">
        <w:rPr>
          <w:rFonts w:ascii="Times New Roman" w:eastAsia="仿宋_GB2312" w:hAnsi="Times New Roman" w:cs="Times New Roman" w:hint="eastAsia"/>
          <w:bCs/>
          <w:kern w:val="44"/>
          <w:sz w:val="28"/>
          <w:szCs w:val="28"/>
        </w:rPr>
        <w:t>监测方案</w:t>
      </w:r>
      <w:r w:rsidR="00E43741">
        <w:rPr>
          <w:rFonts w:ascii="Times New Roman" w:eastAsia="仿宋_GB2312" w:hAnsi="Times New Roman" w:cs="Times New Roman"/>
          <w:bCs/>
          <w:kern w:val="44"/>
          <w:sz w:val="28"/>
          <w:szCs w:val="28"/>
        </w:rPr>
        <w:t>、</w:t>
      </w:r>
      <w:r w:rsidR="00E43741">
        <w:rPr>
          <w:rFonts w:ascii="Times New Roman" w:eastAsia="仿宋_GB2312" w:hAnsi="Times New Roman" w:cs="Times New Roman" w:hint="eastAsia"/>
          <w:bCs/>
          <w:kern w:val="44"/>
          <w:sz w:val="28"/>
          <w:szCs w:val="28"/>
        </w:rPr>
        <w:t>浙江省</w:t>
      </w:r>
      <w:r w:rsidR="008C0C18" w:rsidRPr="00E95B6F">
        <w:rPr>
          <w:rFonts w:ascii="Times New Roman" w:eastAsia="仿宋_GB2312" w:hAnsi="Times New Roman" w:cs="Times New Roman"/>
          <w:bCs/>
          <w:kern w:val="44"/>
          <w:sz w:val="28"/>
          <w:szCs w:val="28"/>
        </w:rPr>
        <w:t>生态</w:t>
      </w:r>
      <w:r w:rsidR="00E43741">
        <w:rPr>
          <w:rFonts w:ascii="Times New Roman" w:eastAsia="仿宋_GB2312" w:hAnsi="Times New Roman" w:cs="Times New Roman" w:hint="eastAsia"/>
          <w:bCs/>
          <w:kern w:val="44"/>
          <w:sz w:val="28"/>
          <w:szCs w:val="28"/>
        </w:rPr>
        <w:t>环境监测工作要点</w:t>
      </w:r>
      <w:r w:rsidR="002E376F">
        <w:rPr>
          <w:rFonts w:ascii="Times New Roman" w:eastAsia="仿宋_GB2312" w:hAnsi="Times New Roman" w:cs="Times New Roman" w:hint="eastAsia"/>
          <w:bCs/>
          <w:kern w:val="44"/>
          <w:sz w:val="28"/>
          <w:szCs w:val="28"/>
        </w:rPr>
        <w:t>和</w:t>
      </w:r>
      <w:r w:rsidR="00E43741">
        <w:rPr>
          <w:rFonts w:ascii="Times New Roman" w:eastAsia="仿宋_GB2312" w:hAnsi="Times New Roman" w:cs="Times New Roman"/>
          <w:bCs/>
          <w:kern w:val="44"/>
          <w:sz w:val="28"/>
          <w:szCs w:val="28"/>
        </w:rPr>
        <w:t>浙江省排污单位执法监测工作方案</w:t>
      </w:r>
      <w:r w:rsidR="002E376F">
        <w:rPr>
          <w:rFonts w:ascii="Times New Roman" w:eastAsia="仿宋_GB2312" w:hAnsi="Times New Roman" w:cs="Times New Roman"/>
          <w:bCs/>
          <w:kern w:val="44"/>
          <w:sz w:val="28"/>
          <w:szCs w:val="28"/>
        </w:rPr>
        <w:t>等相关要求开展了排污单位执法监测，现将</w:t>
      </w:r>
      <w:r w:rsidR="00A819D2" w:rsidRPr="00E95B6F">
        <w:rPr>
          <w:rFonts w:ascii="Times New Roman" w:eastAsia="仿宋_GB2312" w:hAnsi="Times New Roman" w:cs="Times New Roman"/>
          <w:bCs/>
          <w:kern w:val="44"/>
          <w:sz w:val="28"/>
          <w:szCs w:val="28"/>
        </w:rPr>
        <w:t>评价结果报告如下。</w:t>
      </w:r>
    </w:p>
    <w:p w14:paraId="2E406CA7" w14:textId="77777777" w:rsidR="00D70507" w:rsidRPr="00D70507" w:rsidRDefault="00D70507" w:rsidP="00D70507">
      <w:pPr>
        <w:spacing w:line="560" w:lineRule="exact"/>
        <w:ind w:firstLineChars="200" w:firstLine="562"/>
        <w:outlineLvl w:val="0"/>
        <w:rPr>
          <w:rFonts w:ascii="Times New Roman" w:eastAsia="楷体_GB2312" w:hAnsi="Times New Roman" w:cs="Times New Roman"/>
          <w:b/>
          <w:bCs/>
          <w:kern w:val="44"/>
          <w:sz w:val="28"/>
          <w:szCs w:val="28"/>
        </w:rPr>
      </w:pPr>
      <w:bookmarkStart w:id="0" w:name="_Toc126401591"/>
      <w:r w:rsidRPr="00D70507">
        <w:rPr>
          <w:rFonts w:ascii="Times New Roman" w:eastAsia="楷体_GB2312" w:hAnsi="Times New Roman" w:cs="Times New Roman" w:hint="eastAsia"/>
          <w:b/>
          <w:bCs/>
          <w:kern w:val="44"/>
          <w:sz w:val="28"/>
          <w:szCs w:val="28"/>
        </w:rPr>
        <w:t>一、组织实施情况</w:t>
      </w:r>
      <w:bookmarkEnd w:id="0"/>
    </w:p>
    <w:p w14:paraId="78951503" w14:textId="2772DC1A" w:rsidR="00D70507" w:rsidRPr="00D70507" w:rsidRDefault="00D70507" w:rsidP="00D70507">
      <w:pPr>
        <w:adjustRightInd w:val="0"/>
        <w:snapToGrid w:val="0"/>
        <w:spacing w:line="560" w:lineRule="exact"/>
        <w:ind w:firstLineChars="200" w:firstLine="560"/>
        <w:rPr>
          <w:rFonts w:ascii="Times New Roman" w:eastAsia="仿宋_GB2312" w:hAnsi="Times New Roman" w:cs="Times New Roman"/>
          <w:bCs/>
          <w:kern w:val="44"/>
          <w:sz w:val="28"/>
          <w:szCs w:val="28"/>
        </w:rPr>
      </w:pPr>
      <w:r w:rsidRPr="00D70507">
        <w:rPr>
          <w:rFonts w:ascii="Times New Roman" w:eastAsia="仿宋_GB2312" w:hAnsi="Times New Roman" w:cs="Times New Roman" w:hint="eastAsia"/>
          <w:bCs/>
          <w:kern w:val="44"/>
          <w:sz w:val="28"/>
          <w:szCs w:val="28"/>
        </w:rPr>
        <w:t>省级生态环境行政主管部门</w:t>
      </w:r>
      <w:r w:rsidR="002E376F">
        <w:rPr>
          <w:rFonts w:ascii="Times New Roman" w:eastAsia="仿宋_GB2312" w:hAnsi="Times New Roman" w:cs="Times New Roman" w:hint="eastAsia"/>
          <w:bCs/>
          <w:kern w:val="44"/>
          <w:sz w:val="28"/>
          <w:szCs w:val="28"/>
        </w:rPr>
        <w:t>负责</w:t>
      </w:r>
      <w:r w:rsidRPr="00D70507">
        <w:rPr>
          <w:rFonts w:ascii="Times New Roman" w:eastAsia="仿宋_GB2312" w:hAnsi="Times New Roman" w:cs="Times New Roman" w:hint="eastAsia"/>
          <w:bCs/>
          <w:kern w:val="44"/>
          <w:sz w:val="28"/>
          <w:szCs w:val="28"/>
        </w:rPr>
        <w:t>统筹组织开展执法监测工作。执法监测范围包括行政区域内不少于</w:t>
      </w:r>
      <w:r w:rsidRPr="00D70507">
        <w:rPr>
          <w:rFonts w:ascii="Times New Roman" w:eastAsia="仿宋_GB2312" w:hAnsi="Times New Roman" w:cs="Times New Roman"/>
          <w:bCs/>
          <w:kern w:val="44"/>
          <w:sz w:val="28"/>
          <w:szCs w:val="28"/>
        </w:rPr>
        <w:t>5%</w:t>
      </w:r>
      <w:r w:rsidRPr="00D70507">
        <w:rPr>
          <w:rFonts w:ascii="Times New Roman" w:eastAsia="仿宋_GB2312" w:hAnsi="Times New Roman" w:cs="Times New Roman"/>
          <w:bCs/>
          <w:kern w:val="44"/>
          <w:sz w:val="28"/>
          <w:szCs w:val="28"/>
        </w:rPr>
        <w:t>的已核发排污许可证</w:t>
      </w:r>
      <w:r w:rsidR="00A87EF6">
        <w:rPr>
          <w:rFonts w:ascii="Times New Roman" w:eastAsia="仿宋_GB2312" w:hAnsi="Times New Roman" w:cs="Times New Roman" w:hint="eastAsia"/>
          <w:bCs/>
          <w:kern w:val="44"/>
          <w:sz w:val="28"/>
          <w:szCs w:val="28"/>
        </w:rPr>
        <w:t>单位、</w:t>
      </w:r>
      <w:r w:rsidR="002E376F">
        <w:rPr>
          <w:rFonts w:ascii="Times New Roman" w:eastAsia="仿宋_GB2312" w:hAnsi="Times New Roman" w:cs="Times New Roman" w:hint="eastAsia"/>
          <w:bCs/>
          <w:kern w:val="44"/>
          <w:sz w:val="28"/>
          <w:szCs w:val="28"/>
        </w:rPr>
        <w:t>列入建设厅考核的</w:t>
      </w:r>
      <w:r w:rsidRPr="00D70507">
        <w:rPr>
          <w:rFonts w:ascii="Times New Roman" w:eastAsia="仿宋_GB2312" w:hAnsi="Times New Roman" w:cs="Times New Roman"/>
          <w:bCs/>
          <w:kern w:val="44"/>
          <w:sz w:val="28"/>
          <w:szCs w:val="28"/>
        </w:rPr>
        <w:t>城镇污水处理厂</w:t>
      </w:r>
      <w:r w:rsidR="00A87EF6">
        <w:rPr>
          <w:rFonts w:ascii="Times New Roman" w:eastAsia="仿宋_GB2312" w:hAnsi="Times New Roman" w:cs="Times New Roman" w:hint="eastAsia"/>
          <w:bCs/>
          <w:kern w:val="44"/>
          <w:sz w:val="28"/>
          <w:szCs w:val="28"/>
        </w:rPr>
        <w:t>、</w:t>
      </w:r>
      <w:r w:rsidRPr="00D70507">
        <w:rPr>
          <w:rFonts w:ascii="Times New Roman" w:eastAsia="仿宋_GB2312" w:hAnsi="Times New Roman" w:cs="Times New Roman"/>
          <w:bCs/>
          <w:kern w:val="44"/>
          <w:sz w:val="28"/>
          <w:szCs w:val="28"/>
        </w:rPr>
        <w:t>涉重金属行业</w:t>
      </w:r>
      <w:r w:rsidR="00A87EF6">
        <w:rPr>
          <w:rFonts w:ascii="Times New Roman" w:eastAsia="仿宋_GB2312" w:hAnsi="Times New Roman" w:cs="Times New Roman" w:hint="eastAsia"/>
          <w:bCs/>
          <w:kern w:val="44"/>
          <w:sz w:val="28"/>
          <w:szCs w:val="28"/>
        </w:rPr>
        <w:t>排污单位</w:t>
      </w:r>
      <w:r w:rsidRPr="00D70507">
        <w:rPr>
          <w:rFonts w:ascii="Times New Roman" w:eastAsia="仿宋_GB2312" w:hAnsi="Times New Roman" w:cs="Times New Roman"/>
          <w:bCs/>
          <w:kern w:val="44"/>
          <w:sz w:val="28"/>
          <w:szCs w:val="28"/>
        </w:rPr>
        <w:t>相关堆场、尾矿库</w:t>
      </w:r>
      <w:r w:rsidR="00A87EF6">
        <w:rPr>
          <w:rFonts w:ascii="Times New Roman" w:eastAsia="仿宋_GB2312" w:hAnsi="Times New Roman" w:cs="Times New Roman" w:hint="eastAsia"/>
          <w:bCs/>
          <w:kern w:val="44"/>
          <w:sz w:val="28"/>
          <w:szCs w:val="28"/>
        </w:rPr>
        <w:t>、</w:t>
      </w:r>
      <w:r w:rsidRPr="00D70507">
        <w:rPr>
          <w:rFonts w:ascii="Times New Roman" w:eastAsia="仿宋_GB2312" w:hAnsi="Times New Roman" w:cs="Times New Roman"/>
          <w:bCs/>
          <w:kern w:val="44"/>
          <w:sz w:val="28"/>
          <w:szCs w:val="28"/>
        </w:rPr>
        <w:t>生活垃圾焚烧厂</w:t>
      </w:r>
      <w:r w:rsidR="00A87EF6">
        <w:rPr>
          <w:rFonts w:ascii="Times New Roman" w:eastAsia="仿宋_GB2312" w:hAnsi="Times New Roman" w:cs="Times New Roman" w:hint="eastAsia"/>
          <w:bCs/>
          <w:kern w:val="44"/>
          <w:sz w:val="28"/>
          <w:szCs w:val="28"/>
        </w:rPr>
        <w:t>、</w:t>
      </w:r>
      <w:r w:rsidRPr="00D70507">
        <w:rPr>
          <w:rFonts w:ascii="Times New Roman" w:eastAsia="仿宋_GB2312" w:hAnsi="Times New Roman" w:cs="Times New Roman"/>
          <w:bCs/>
          <w:kern w:val="44"/>
          <w:sz w:val="28"/>
          <w:szCs w:val="28"/>
        </w:rPr>
        <w:t>生活垃圾填埋场</w:t>
      </w:r>
      <w:r w:rsidR="002E376F">
        <w:rPr>
          <w:rFonts w:ascii="Times New Roman" w:eastAsia="仿宋_GB2312" w:hAnsi="Times New Roman" w:cs="Times New Roman" w:hint="eastAsia"/>
          <w:bCs/>
          <w:kern w:val="44"/>
          <w:sz w:val="28"/>
          <w:szCs w:val="28"/>
        </w:rPr>
        <w:t>等。执法监测频次原则上一年至少监测一次；列入</w:t>
      </w:r>
      <w:r w:rsidRPr="00D70507">
        <w:rPr>
          <w:rFonts w:ascii="Times New Roman" w:eastAsia="仿宋_GB2312" w:hAnsi="Times New Roman" w:cs="Times New Roman"/>
          <w:bCs/>
          <w:kern w:val="44"/>
          <w:sz w:val="28"/>
          <w:szCs w:val="28"/>
        </w:rPr>
        <w:t>考核范围的县级以上城镇污水处理厂一季度监测一次</w:t>
      </w:r>
      <w:r w:rsidRPr="00D70507">
        <w:rPr>
          <w:rFonts w:ascii="Times New Roman" w:eastAsia="仿宋_GB2312" w:hAnsi="Times New Roman" w:cs="Times New Roman" w:hint="eastAsia"/>
          <w:bCs/>
          <w:kern w:val="44"/>
          <w:sz w:val="28"/>
          <w:szCs w:val="28"/>
        </w:rPr>
        <w:t>；</w:t>
      </w:r>
      <w:r w:rsidRPr="00D70507">
        <w:rPr>
          <w:rFonts w:ascii="Times New Roman" w:eastAsia="仿宋_GB2312" w:hAnsi="Times New Roman" w:cs="Times New Roman"/>
          <w:bCs/>
          <w:kern w:val="44"/>
          <w:sz w:val="28"/>
          <w:szCs w:val="28"/>
        </w:rPr>
        <w:t>执行的排放标准、环评报告书及批复、排污许可等有明确要求的，监测频次从其规定。</w:t>
      </w:r>
    </w:p>
    <w:p w14:paraId="2755869F" w14:textId="3873B3A6" w:rsidR="00C460EE" w:rsidRPr="00D52753" w:rsidRDefault="00D70507" w:rsidP="00D067CC">
      <w:pPr>
        <w:spacing w:line="560" w:lineRule="exact"/>
        <w:ind w:firstLineChars="200" w:firstLine="562"/>
        <w:outlineLvl w:val="0"/>
        <w:rPr>
          <w:rFonts w:ascii="Times New Roman" w:eastAsia="楷体_GB2312" w:hAnsi="Times New Roman" w:cs="Times New Roman"/>
          <w:b/>
          <w:bCs/>
          <w:kern w:val="44"/>
          <w:sz w:val="28"/>
          <w:szCs w:val="28"/>
        </w:rPr>
      </w:pPr>
      <w:bookmarkStart w:id="1" w:name="_Toc126401592"/>
      <w:r w:rsidRPr="00D52753">
        <w:rPr>
          <w:rFonts w:ascii="Times New Roman" w:eastAsia="楷体_GB2312" w:hAnsi="Times New Roman" w:cs="Times New Roman" w:hint="eastAsia"/>
          <w:b/>
          <w:bCs/>
          <w:kern w:val="44"/>
          <w:sz w:val="28"/>
          <w:szCs w:val="28"/>
        </w:rPr>
        <w:t>二</w:t>
      </w:r>
      <w:r w:rsidR="00C460EE" w:rsidRPr="00D52753">
        <w:rPr>
          <w:rFonts w:ascii="Times New Roman" w:eastAsia="楷体_GB2312" w:hAnsi="Times New Roman" w:cs="Times New Roman"/>
          <w:b/>
          <w:bCs/>
          <w:kern w:val="44"/>
          <w:sz w:val="28"/>
          <w:szCs w:val="28"/>
        </w:rPr>
        <w:t>、监测概况</w:t>
      </w:r>
      <w:bookmarkEnd w:id="1"/>
    </w:p>
    <w:p w14:paraId="171A4546" w14:textId="49F784F1" w:rsidR="000D1A76" w:rsidRPr="00D52753" w:rsidRDefault="002F34D5" w:rsidP="00F70D6C">
      <w:pPr>
        <w:spacing w:line="560" w:lineRule="exact"/>
        <w:ind w:firstLineChars="200" w:firstLine="560"/>
        <w:rPr>
          <w:rFonts w:ascii="Times New Roman" w:eastAsia="仿宋_GB2312" w:hAnsi="Times New Roman" w:cs="Times New Roman"/>
          <w:bCs/>
          <w:kern w:val="44"/>
          <w:sz w:val="28"/>
          <w:szCs w:val="28"/>
        </w:rPr>
      </w:pPr>
      <w:r w:rsidRPr="00D52753">
        <w:rPr>
          <w:rFonts w:ascii="Times New Roman" w:eastAsia="仿宋_GB2312" w:hAnsi="Times New Roman" w:cs="Times New Roman"/>
          <w:bCs/>
          <w:kern w:val="44"/>
          <w:sz w:val="28"/>
          <w:szCs w:val="28"/>
        </w:rPr>
        <w:t>20</w:t>
      </w:r>
      <w:r w:rsidR="00AA68CE" w:rsidRPr="00D52753">
        <w:rPr>
          <w:rFonts w:ascii="Times New Roman" w:eastAsia="仿宋_GB2312" w:hAnsi="Times New Roman" w:cs="Times New Roman"/>
          <w:bCs/>
          <w:kern w:val="44"/>
          <w:sz w:val="28"/>
          <w:szCs w:val="28"/>
        </w:rPr>
        <w:t>2</w:t>
      </w:r>
      <w:r w:rsidR="00D428D0" w:rsidRPr="00D52753">
        <w:rPr>
          <w:rFonts w:ascii="Times New Roman" w:eastAsia="仿宋_GB2312" w:hAnsi="Times New Roman" w:cs="Times New Roman"/>
          <w:bCs/>
          <w:kern w:val="44"/>
          <w:sz w:val="28"/>
          <w:szCs w:val="28"/>
        </w:rPr>
        <w:t>3</w:t>
      </w:r>
      <w:r w:rsidRPr="00D52753">
        <w:rPr>
          <w:rFonts w:ascii="Times New Roman" w:eastAsia="仿宋_GB2312" w:hAnsi="Times New Roman" w:cs="Times New Roman"/>
          <w:bCs/>
          <w:kern w:val="44"/>
          <w:sz w:val="28"/>
          <w:szCs w:val="28"/>
        </w:rPr>
        <w:t>年</w:t>
      </w:r>
      <w:r w:rsidR="000D1A76" w:rsidRPr="00D52753">
        <w:rPr>
          <w:rFonts w:ascii="Times New Roman" w:eastAsia="仿宋_GB2312" w:hAnsi="Times New Roman" w:cs="Times New Roman"/>
          <w:bCs/>
          <w:kern w:val="44"/>
          <w:sz w:val="28"/>
          <w:szCs w:val="28"/>
        </w:rPr>
        <w:t>，全省共</w:t>
      </w:r>
      <w:r w:rsidR="00304FC4" w:rsidRPr="00D52753">
        <w:rPr>
          <w:rFonts w:ascii="Times New Roman" w:eastAsia="仿宋_GB2312" w:hAnsi="Times New Roman" w:cs="Times New Roman" w:hint="eastAsia"/>
          <w:bCs/>
          <w:kern w:val="44"/>
          <w:sz w:val="28"/>
          <w:szCs w:val="28"/>
        </w:rPr>
        <w:t>对</w:t>
      </w:r>
      <w:r w:rsidR="00D52753" w:rsidRPr="00D52753">
        <w:rPr>
          <w:rFonts w:ascii="Times New Roman" w:eastAsia="仿宋_GB2312" w:hAnsi="Times New Roman" w:cs="Times New Roman"/>
          <w:bCs/>
          <w:kern w:val="44"/>
          <w:sz w:val="28"/>
          <w:szCs w:val="28"/>
        </w:rPr>
        <w:t>3543</w:t>
      </w:r>
      <w:r w:rsidR="000D1A76" w:rsidRPr="00D52753">
        <w:rPr>
          <w:rFonts w:ascii="Times New Roman" w:eastAsia="仿宋_GB2312" w:hAnsi="Times New Roman" w:cs="Times New Roman"/>
          <w:bCs/>
          <w:kern w:val="44"/>
          <w:sz w:val="28"/>
          <w:szCs w:val="28"/>
        </w:rPr>
        <w:t>家</w:t>
      </w:r>
      <w:r w:rsidR="00304FC4" w:rsidRPr="00D52753">
        <w:rPr>
          <w:rFonts w:ascii="Times New Roman" w:eastAsia="仿宋_GB2312" w:hAnsi="Times New Roman" w:cs="Times New Roman"/>
          <w:bCs/>
          <w:kern w:val="44"/>
          <w:sz w:val="28"/>
          <w:szCs w:val="28"/>
        </w:rPr>
        <w:t>排污单位</w:t>
      </w:r>
      <w:r w:rsidR="00BF2D29" w:rsidRPr="00D52753">
        <w:rPr>
          <w:rFonts w:ascii="Times New Roman" w:eastAsia="仿宋_GB2312" w:hAnsi="Times New Roman" w:cs="Times New Roman" w:hint="eastAsia"/>
          <w:bCs/>
          <w:kern w:val="44"/>
          <w:sz w:val="28"/>
          <w:szCs w:val="28"/>
        </w:rPr>
        <w:t>开展了</w:t>
      </w:r>
      <w:r w:rsidR="00D52753" w:rsidRPr="00D52753">
        <w:rPr>
          <w:rFonts w:ascii="Times New Roman" w:eastAsia="仿宋_GB2312" w:hAnsi="Times New Roman" w:cs="Times New Roman"/>
          <w:bCs/>
          <w:kern w:val="44"/>
          <w:sz w:val="28"/>
          <w:szCs w:val="28"/>
        </w:rPr>
        <w:t>6244</w:t>
      </w:r>
      <w:r w:rsidR="00BF2D29" w:rsidRPr="00D52753">
        <w:rPr>
          <w:rFonts w:ascii="Times New Roman" w:eastAsia="仿宋_GB2312" w:hAnsi="Times New Roman" w:cs="Times New Roman" w:hint="eastAsia"/>
          <w:bCs/>
          <w:kern w:val="44"/>
          <w:sz w:val="28"/>
          <w:szCs w:val="28"/>
        </w:rPr>
        <w:t>次监测。</w:t>
      </w:r>
      <w:r w:rsidR="000D1A76" w:rsidRPr="00D52753">
        <w:rPr>
          <w:rFonts w:ascii="Times New Roman" w:eastAsia="仿宋_GB2312" w:hAnsi="Times New Roman" w:cs="Times New Roman"/>
          <w:bCs/>
          <w:kern w:val="44"/>
          <w:sz w:val="28"/>
          <w:szCs w:val="28"/>
        </w:rPr>
        <w:t>其中</w:t>
      </w:r>
      <w:r w:rsidR="00A87EF6" w:rsidRPr="00D52753">
        <w:rPr>
          <w:rFonts w:ascii="Times New Roman" w:eastAsia="仿宋_GB2312" w:hAnsi="Times New Roman" w:cs="Times New Roman" w:hint="eastAsia"/>
          <w:bCs/>
          <w:kern w:val="44"/>
          <w:sz w:val="28"/>
          <w:szCs w:val="28"/>
        </w:rPr>
        <w:t>废水排污单位</w:t>
      </w:r>
      <w:r w:rsidR="00D428D0" w:rsidRPr="00D52753">
        <w:rPr>
          <w:rFonts w:ascii="Times New Roman" w:eastAsia="仿宋_GB2312" w:hAnsi="Times New Roman" w:cs="Times New Roman"/>
          <w:bCs/>
          <w:kern w:val="44"/>
          <w:sz w:val="28"/>
          <w:szCs w:val="28"/>
        </w:rPr>
        <w:t>1763</w:t>
      </w:r>
      <w:r w:rsidR="00347058" w:rsidRPr="00D52753">
        <w:rPr>
          <w:rFonts w:ascii="Times New Roman" w:eastAsia="仿宋_GB2312" w:hAnsi="Times New Roman" w:cs="Times New Roman"/>
          <w:bCs/>
          <w:kern w:val="44"/>
          <w:sz w:val="28"/>
          <w:szCs w:val="28"/>
        </w:rPr>
        <w:t>家（包含</w:t>
      </w:r>
      <w:r w:rsidR="002E376F">
        <w:rPr>
          <w:rFonts w:ascii="Times New Roman" w:eastAsia="仿宋_GB2312" w:hAnsi="Times New Roman" w:cs="Times New Roman" w:hint="eastAsia"/>
          <w:bCs/>
          <w:kern w:val="44"/>
          <w:sz w:val="28"/>
          <w:szCs w:val="28"/>
        </w:rPr>
        <w:t>涉</w:t>
      </w:r>
      <w:r w:rsidR="00347058" w:rsidRPr="00D52753">
        <w:rPr>
          <w:rFonts w:ascii="Times New Roman" w:eastAsia="仿宋_GB2312" w:hAnsi="Times New Roman" w:cs="Times New Roman"/>
          <w:bCs/>
          <w:kern w:val="44"/>
          <w:sz w:val="28"/>
          <w:szCs w:val="28"/>
        </w:rPr>
        <w:t>重金属</w:t>
      </w:r>
      <w:r w:rsidR="002E376F">
        <w:rPr>
          <w:rFonts w:ascii="Times New Roman" w:eastAsia="仿宋_GB2312" w:hAnsi="Times New Roman" w:cs="Times New Roman" w:hint="eastAsia"/>
          <w:bCs/>
          <w:kern w:val="44"/>
          <w:sz w:val="28"/>
          <w:szCs w:val="28"/>
        </w:rPr>
        <w:t>企业</w:t>
      </w:r>
      <w:r w:rsidR="00D52753" w:rsidRPr="00D52753">
        <w:rPr>
          <w:rFonts w:ascii="Times New Roman" w:eastAsia="仿宋_GB2312" w:hAnsi="Times New Roman" w:cs="Times New Roman"/>
          <w:bCs/>
          <w:kern w:val="44"/>
          <w:sz w:val="28"/>
          <w:szCs w:val="28"/>
        </w:rPr>
        <w:t>680</w:t>
      </w:r>
      <w:r w:rsidR="00347058" w:rsidRPr="00D52753">
        <w:rPr>
          <w:rFonts w:ascii="Times New Roman" w:eastAsia="仿宋_GB2312" w:hAnsi="Times New Roman" w:cs="Times New Roman"/>
          <w:bCs/>
          <w:kern w:val="44"/>
          <w:sz w:val="28"/>
          <w:szCs w:val="28"/>
        </w:rPr>
        <w:t>家、生活垃圾焚烧厂</w:t>
      </w:r>
      <w:r w:rsidR="00D52753" w:rsidRPr="00D52753">
        <w:rPr>
          <w:rFonts w:ascii="Times New Roman" w:eastAsia="仿宋_GB2312" w:hAnsi="Times New Roman" w:cs="Times New Roman"/>
          <w:bCs/>
          <w:kern w:val="44"/>
          <w:sz w:val="28"/>
          <w:szCs w:val="28"/>
        </w:rPr>
        <w:t>45</w:t>
      </w:r>
      <w:r w:rsidR="00347058" w:rsidRPr="00D52753">
        <w:rPr>
          <w:rFonts w:ascii="Times New Roman" w:eastAsia="仿宋_GB2312" w:hAnsi="Times New Roman" w:cs="Times New Roman"/>
          <w:bCs/>
          <w:kern w:val="44"/>
          <w:sz w:val="28"/>
          <w:szCs w:val="28"/>
        </w:rPr>
        <w:t>家、生活垃圾填埋场</w:t>
      </w:r>
      <w:r w:rsidR="00D52753" w:rsidRPr="00D52753">
        <w:rPr>
          <w:rFonts w:ascii="Times New Roman" w:eastAsia="仿宋_GB2312" w:hAnsi="Times New Roman" w:cs="Times New Roman"/>
          <w:bCs/>
          <w:kern w:val="44"/>
          <w:sz w:val="28"/>
          <w:szCs w:val="28"/>
        </w:rPr>
        <w:t>81</w:t>
      </w:r>
      <w:r w:rsidR="00347058" w:rsidRPr="00D52753">
        <w:rPr>
          <w:rFonts w:ascii="Times New Roman" w:eastAsia="仿宋_GB2312" w:hAnsi="Times New Roman" w:cs="Times New Roman"/>
          <w:bCs/>
          <w:kern w:val="44"/>
          <w:sz w:val="28"/>
          <w:szCs w:val="28"/>
        </w:rPr>
        <w:t>家</w:t>
      </w:r>
      <w:r w:rsidR="00A87EF6" w:rsidRPr="00D52753">
        <w:rPr>
          <w:rFonts w:ascii="Times New Roman" w:eastAsia="仿宋_GB2312" w:hAnsi="Times New Roman" w:cs="Times New Roman" w:hint="eastAsia"/>
          <w:bCs/>
          <w:kern w:val="44"/>
          <w:sz w:val="28"/>
          <w:szCs w:val="28"/>
        </w:rPr>
        <w:t>等</w:t>
      </w:r>
      <w:r w:rsidR="00347058" w:rsidRPr="00D52753">
        <w:rPr>
          <w:rFonts w:ascii="Times New Roman" w:eastAsia="仿宋_GB2312" w:hAnsi="Times New Roman" w:cs="Times New Roman"/>
          <w:bCs/>
          <w:kern w:val="44"/>
          <w:sz w:val="28"/>
          <w:szCs w:val="28"/>
        </w:rPr>
        <w:t>）、</w:t>
      </w:r>
      <w:r w:rsidR="00464AB2" w:rsidRPr="00D52753">
        <w:rPr>
          <w:rFonts w:ascii="Times New Roman" w:eastAsia="仿宋_GB2312" w:hAnsi="Times New Roman" w:cs="Times New Roman"/>
          <w:bCs/>
          <w:kern w:val="44"/>
          <w:sz w:val="28"/>
          <w:szCs w:val="28"/>
        </w:rPr>
        <w:t>集中式污水处理厂</w:t>
      </w:r>
      <w:r w:rsidR="00D428D0" w:rsidRPr="00D52753">
        <w:rPr>
          <w:rFonts w:ascii="Times New Roman" w:eastAsia="仿宋_GB2312" w:hAnsi="Times New Roman" w:cs="Times New Roman"/>
          <w:bCs/>
          <w:kern w:val="44"/>
          <w:sz w:val="28"/>
          <w:szCs w:val="28"/>
        </w:rPr>
        <w:t>386</w:t>
      </w:r>
      <w:r w:rsidR="00464AB2" w:rsidRPr="00D52753">
        <w:rPr>
          <w:rFonts w:ascii="Times New Roman" w:eastAsia="仿宋_GB2312" w:hAnsi="Times New Roman" w:cs="Times New Roman"/>
          <w:bCs/>
          <w:kern w:val="44"/>
          <w:sz w:val="28"/>
          <w:szCs w:val="28"/>
        </w:rPr>
        <w:t>家、</w:t>
      </w:r>
      <w:r w:rsidR="00A87EF6" w:rsidRPr="00D52753">
        <w:rPr>
          <w:rFonts w:ascii="Times New Roman" w:eastAsia="仿宋_GB2312" w:hAnsi="Times New Roman" w:cs="Times New Roman" w:hint="eastAsia"/>
          <w:bCs/>
          <w:kern w:val="44"/>
          <w:sz w:val="28"/>
          <w:szCs w:val="28"/>
        </w:rPr>
        <w:t>废气排污单位</w:t>
      </w:r>
      <w:r w:rsidR="00D428D0" w:rsidRPr="00D52753">
        <w:rPr>
          <w:rFonts w:ascii="Times New Roman" w:eastAsia="仿宋_GB2312" w:hAnsi="Times New Roman" w:cs="Times New Roman"/>
          <w:bCs/>
          <w:kern w:val="44"/>
          <w:sz w:val="28"/>
          <w:szCs w:val="28"/>
        </w:rPr>
        <w:t>1394</w:t>
      </w:r>
      <w:r w:rsidR="00464AB2" w:rsidRPr="00D52753">
        <w:rPr>
          <w:rFonts w:ascii="Times New Roman" w:eastAsia="仿宋_GB2312" w:hAnsi="Times New Roman" w:cs="Times New Roman"/>
          <w:bCs/>
          <w:kern w:val="44"/>
          <w:sz w:val="28"/>
          <w:szCs w:val="28"/>
        </w:rPr>
        <w:t>家（包含</w:t>
      </w:r>
      <w:r w:rsidR="002E376F">
        <w:rPr>
          <w:rFonts w:ascii="Times New Roman" w:eastAsia="仿宋_GB2312" w:hAnsi="Times New Roman" w:cs="Times New Roman" w:hint="eastAsia"/>
          <w:bCs/>
          <w:kern w:val="44"/>
          <w:sz w:val="28"/>
          <w:szCs w:val="28"/>
        </w:rPr>
        <w:t>涉</w:t>
      </w:r>
      <w:r w:rsidR="00464AB2" w:rsidRPr="00D52753">
        <w:rPr>
          <w:rFonts w:ascii="Times New Roman" w:eastAsia="仿宋_GB2312" w:hAnsi="Times New Roman" w:cs="Times New Roman"/>
          <w:bCs/>
          <w:kern w:val="44"/>
          <w:sz w:val="28"/>
          <w:szCs w:val="28"/>
        </w:rPr>
        <w:t>重金属</w:t>
      </w:r>
      <w:r w:rsidR="002E376F">
        <w:rPr>
          <w:rFonts w:ascii="Times New Roman" w:eastAsia="仿宋_GB2312" w:hAnsi="Times New Roman" w:cs="Times New Roman" w:hint="eastAsia"/>
          <w:bCs/>
          <w:kern w:val="44"/>
          <w:sz w:val="28"/>
          <w:szCs w:val="28"/>
        </w:rPr>
        <w:t>企业</w:t>
      </w:r>
      <w:r w:rsidR="00FF4B0B" w:rsidRPr="00D52753">
        <w:rPr>
          <w:rFonts w:ascii="Times New Roman" w:eastAsia="仿宋_GB2312" w:hAnsi="Times New Roman" w:cs="Times New Roman"/>
          <w:bCs/>
          <w:kern w:val="44"/>
          <w:sz w:val="28"/>
          <w:szCs w:val="28"/>
        </w:rPr>
        <w:t>36</w:t>
      </w:r>
      <w:r w:rsidR="00D52753" w:rsidRPr="00D52753">
        <w:rPr>
          <w:rFonts w:ascii="Times New Roman" w:eastAsia="仿宋_GB2312" w:hAnsi="Times New Roman" w:cs="Times New Roman"/>
          <w:bCs/>
          <w:kern w:val="44"/>
          <w:sz w:val="28"/>
          <w:szCs w:val="28"/>
        </w:rPr>
        <w:t>5</w:t>
      </w:r>
      <w:r w:rsidR="00464AB2" w:rsidRPr="00D52753">
        <w:rPr>
          <w:rFonts w:ascii="Times New Roman" w:eastAsia="仿宋_GB2312" w:hAnsi="Times New Roman" w:cs="Times New Roman"/>
          <w:bCs/>
          <w:kern w:val="44"/>
          <w:sz w:val="28"/>
          <w:szCs w:val="28"/>
        </w:rPr>
        <w:t>家、生活垃圾焚烧厂</w:t>
      </w:r>
      <w:r w:rsidR="00D52753" w:rsidRPr="00D52753">
        <w:rPr>
          <w:rFonts w:ascii="Times New Roman" w:eastAsia="仿宋_GB2312" w:hAnsi="Times New Roman" w:cs="Times New Roman"/>
          <w:bCs/>
          <w:kern w:val="44"/>
          <w:sz w:val="28"/>
          <w:szCs w:val="28"/>
        </w:rPr>
        <w:t>84</w:t>
      </w:r>
      <w:r w:rsidR="00464AB2" w:rsidRPr="00D52753">
        <w:rPr>
          <w:rFonts w:ascii="Times New Roman" w:eastAsia="仿宋_GB2312" w:hAnsi="Times New Roman" w:cs="Times New Roman"/>
          <w:bCs/>
          <w:kern w:val="44"/>
          <w:sz w:val="28"/>
          <w:szCs w:val="28"/>
        </w:rPr>
        <w:t>家、生活垃圾填埋场</w:t>
      </w:r>
      <w:r w:rsidR="00D52753" w:rsidRPr="00D52753">
        <w:rPr>
          <w:rFonts w:ascii="Times New Roman" w:eastAsia="仿宋_GB2312" w:hAnsi="Times New Roman" w:cs="Times New Roman"/>
          <w:bCs/>
          <w:kern w:val="44"/>
          <w:sz w:val="28"/>
          <w:szCs w:val="28"/>
        </w:rPr>
        <w:t>40</w:t>
      </w:r>
      <w:r w:rsidR="00464AB2" w:rsidRPr="00D52753">
        <w:rPr>
          <w:rFonts w:ascii="Times New Roman" w:eastAsia="仿宋_GB2312" w:hAnsi="Times New Roman" w:cs="Times New Roman"/>
          <w:bCs/>
          <w:kern w:val="44"/>
          <w:sz w:val="28"/>
          <w:szCs w:val="28"/>
        </w:rPr>
        <w:t>家</w:t>
      </w:r>
      <w:r w:rsidR="00A87EF6" w:rsidRPr="00D52753">
        <w:rPr>
          <w:rFonts w:ascii="Times New Roman" w:eastAsia="仿宋_GB2312" w:hAnsi="Times New Roman" w:cs="Times New Roman" w:hint="eastAsia"/>
          <w:bCs/>
          <w:kern w:val="44"/>
          <w:sz w:val="28"/>
          <w:szCs w:val="28"/>
        </w:rPr>
        <w:t>等</w:t>
      </w:r>
      <w:r w:rsidR="00464AB2" w:rsidRPr="00D52753">
        <w:rPr>
          <w:rFonts w:ascii="Times New Roman" w:eastAsia="仿宋_GB2312" w:hAnsi="Times New Roman" w:cs="Times New Roman"/>
          <w:bCs/>
          <w:kern w:val="44"/>
          <w:sz w:val="28"/>
          <w:szCs w:val="28"/>
        </w:rPr>
        <w:t>）</w:t>
      </w:r>
      <w:r w:rsidR="0094550A" w:rsidRPr="00D52753">
        <w:rPr>
          <w:rFonts w:ascii="Times New Roman" w:eastAsia="仿宋_GB2312" w:hAnsi="Times New Roman" w:cs="Times New Roman"/>
          <w:bCs/>
          <w:kern w:val="44"/>
          <w:sz w:val="28"/>
          <w:szCs w:val="28"/>
        </w:rPr>
        <w:t>。</w:t>
      </w:r>
      <w:r w:rsidR="00A87EF6" w:rsidRPr="00D52753">
        <w:rPr>
          <w:rFonts w:ascii="Times New Roman" w:eastAsia="仿宋_GB2312" w:hAnsi="Times New Roman" w:cs="Times New Roman" w:hint="eastAsia"/>
          <w:bCs/>
          <w:kern w:val="44"/>
          <w:sz w:val="28"/>
          <w:szCs w:val="28"/>
        </w:rPr>
        <w:t>另</w:t>
      </w:r>
      <w:r w:rsidR="00FD0BE6" w:rsidRPr="00D52753">
        <w:rPr>
          <w:rFonts w:ascii="Times New Roman" w:eastAsia="仿宋_GB2312" w:hAnsi="Times New Roman" w:cs="Times New Roman" w:hint="eastAsia"/>
          <w:bCs/>
          <w:kern w:val="44"/>
          <w:sz w:val="28"/>
          <w:szCs w:val="28"/>
        </w:rPr>
        <w:t>对</w:t>
      </w:r>
      <w:r w:rsidR="00D52753" w:rsidRPr="00D52753">
        <w:rPr>
          <w:rFonts w:ascii="Times New Roman" w:eastAsia="仿宋_GB2312" w:hAnsi="Times New Roman" w:cs="Times New Roman"/>
          <w:bCs/>
          <w:kern w:val="44"/>
          <w:sz w:val="28"/>
          <w:szCs w:val="28"/>
        </w:rPr>
        <w:t>20</w:t>
      </w:r>
      <w:r w:rsidR="00FD0BE6" w:rsidRPr="00D52753">
        <w:rPr>
          <w:rFonts w:ascii="Times New Roman" w:eastAsia="仿宋_GB2312" w:hAnsi="Times New Roman" w:cs="Times New Roman" w:hint="eastAsia"/>
          <w:bCs/>
          <w:kern w:val="44"/>
          <w:sz w:val="28"/>
          <w:szCs w:val="28"/>
        </w:rPr>
        <w:t>座尾矿库尾水排放开展了监测。</w:t>
      </w:r>
    </w:p>
    <w:p w14:paraId="65E05B27" w14:textId="090D24D4" w:rsidR="00292D4F" w:rsidRDefault="00D70507" w:rsidP="00D067CC">
      <w:pPr>
        <w:spacing w:line="560" w:lineRule="exact"/>
        <w:ind w:firstLineChars="200" w:firstLine="562"/>
        <w:outlineLvl w:val="0"/>
        <w:rPr>
          <w:rFonts w:ascii="Times New Roman" w:eastAsia="楷体_GB2312" w:hAnsi="Times New Roman" w:cs="Times New Roman"/>
          <w:b/>
          <w:bCs/>
          <w:kern w:val="44"/>
          <w:sz w:val="28"/>
          <w:szCs w:val="28"/>
        </w:rPr>
      </w:pPr>
      <w:bookmarkStart w:id="2" w:name="_Toc126401593"/>
      <w:r>
        <w:rPr>
          <w:rFonts w:ascii="Times New Roman" w:eastAsia="楷体_GB2312" w:hAnsi="Times New Roman" w:cs="Times New Roman" w:hint="eastAsia"/>
          <w:b/>
          <w:bCs/>
          <w:kern w:val="44"/>
          <w:sz w:val="28"/>
          <w:szCs w:val="28"/>
        </w:rPr>
        <w:t>三</w:t>
      </w:r>
      <w:r w:rsidR="00C43CC5" w:rsidRPr="00E95B6F">
        <w:rPr>
          <w:rFonts w:ascii="Times New Roman" w:eastAsia="楷体_GB2312" w:hAnsi="Times New Roman" w:cs="Times New Roman"/>
          <w:b/>
          <w:bCs/>
          <w:kern w:val="44"/>
          <w:sz w:val="28"/>
          <w:szCs w:val="28"/>
        </w:rPr>
        <w:t>、</w:t>
      </w:r>
      <w:r w:rsidR="00292D4F">
        <w:rPr>
          <w:rFonts w:ascii="Times New Roman" w:eastAsia="楷体_GB2312" w:hAnsi="Times New Roman" w:cs="Times New Roman" w:hint="eastAsia"/>
          <w:b/>
          <w:bCs/>
          <w:kern w:val="44"/>
          <w:sz w:val="28"/>
          <w:szCs w:val="28"/>
        </w:rPr>
        <w:t>达标情况</w:t>
      </w:r>
      <w:bookmarkEnd w:id="2"/>
    </w:p>
    <w:p w14:paraId="6B15E75E" w14:textId="06A40BF3" w:rsidR="00903347" w:rsidRPr="00317502" w:rsidRDefault="00292D4F" w:rsidP="001B765A">
      <w:pPr>
        <w:spacing w:beforeLines="20" w:before="62" w:afterLines="20" w:after="62" w:line="560" w:lineRule="exact"/>
        <w:ind w:firstLineChars="200" w:firstLine="562"/>
        <w:outlineLvl w:val="1"/>
        <w:rPr>
          <w:rFonts w:ascii="仿宋" w:eastAsia="仿宋" w:hAnsi="仿宋" w:cs="Times New Roman"/>
          <w:b/>
          <w:bCs/>
          <w:kern w:val="44"/>
          <w:sz w:val="28"/>
          <w:szCs w:val="28"/>
        </w:rPr>
      </w:pPr>
      <w:bookmarkStart w:id="3" w:name="_Toc126401594"/>
      <w:r w:rsidRPr="00317502">
        <w:rPr>
          <w:rFonts w:ascii="仿宋" w:eastAsia="仿宋" w:hAnsi="仿宋" w:cs="Times New Roman" w:hint="eastAsia"/>
          <w:b/>
          <w:bCs/>
          <w:kern w:val="44"/>
          <w:sz w:val="28"/>
          <w:szCs w:val="28"/>
        </w:rPr>
        <w:t>（一）</w:t>
      </w:r>
      <w:r w:rsidR="00A87EF6">
        <w:rPr>
          <w:rFonts w:ascii="仿宋" w:eastAsia="仿宋" w:hAnsi="仿宋" w:cs="Times New Roman" w:hint="eastAsia"/>
          <w:b/>
          <w:bCs/>
          <w:kern w:val="44"/>
          <w:sz w:val="28"/>
          <w:szCs w:val="28"/>
        </w:rPr>
        <w:t>废水排污单位</w:t>
      </w:r>
      <w:bookmarkEnd w:id="3"/>
    </w:p>
    <w:p w14:paraId="4259F92F" w14:textId="77777777" w:rsidR="00416E30" w:rsidRPr="00E95B6F" w:rsidRDefault="00416E30" w:rsidP="00F70D6C">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1</w:t>
      </w:r>
      <w:r w:rsidRPr="00F70D6C">
        <w:rPr>
          <w:rFonts w:ascii="Times New Roman" w:eastAsia="仿宋_GB2312" w:hAnsi="Times New Roman" w:cs="Times New Roman" w:hint="eastAsia"/>
          <w:bCs/>
          <w:kern w:val="44"/>
          <w:sz w:val="28"/>
          <w:szCs w:val="28"/>
        </w:rPr>
        <w:t>.</w:t>
      </w:r>
      <w:r w:rsidRPr="00E95B6F">
        <w:rPr>
          <w:rFonts w:ascii="Times New Roman" w:eastAsia="仿宋_GB2312" w:hAnsi="Times New Roman" w:cs="Times New Roman"/>
          <w:bCs/>
          <w:kern w:val="44"/>
          <w:sz w:val="28"/>
          <w:szCs w:val="28"/>
        </w:rPr>
        <w:t>达标情况</w:t>
      </w:r>
    </w:p>
    <w:p w14:paraId="6F75A05E" w14:textId="1C334C70" w:rsidR="00565294" w:rsidRPr="00E95B6F" w:rsidRDefault="00565294" w:rsidP="00565294">
      <w:pPr>
        <w:spacing w:line="560" w:lineRule="exact"/>
        <w:ind w:firstLineChars="200" w:firstLine="560"/>
        <w:rPr>
          <w:rFonts w:ascii="Times New Roman" w:eastAsia="仿宋_GB2312" w:hAnsi="Times New Roman" w:cs="Times New Roman"/>
          <w:bCs/>
          <w:kern w:val="44"/>
          <w:sz w:val="28"/>
          <w:szCs w:val="28"/>
        </w:rPr>
      </w:pPr>
      <w:bookmarkStart w:id="4" w:name="_Toc126401596"/>
      <w:r w:rsidRPr="00E95B6F">
        <w:rPr>
          <w:rFonts w:ascii="Times New Roman" w:eastAsia="仿宋_GB2312" w:hAnsi="Times New Roman" w:cs="Times New Roman"/>
          <w:bCs/>
          <w:kern w:val="44"/>
          <w:sz w:val="28"/>
          <w:szCs w:val="28"/>
        </w:rPr>
        <w:t>全省共对</w:t>
      </w:r>
      <w:r>
        <w:rPr>
          <w:rFonts w:ascii="Times New Roman" w:eastAsia="仿宋_GB2312" w:hAnsi="Times New Roman" w:cs="Times New Roman"/>
          <w:bCs/>
          <w:kern w:val="44"/>
          <w:sz w:val="28"/>
          <w:szCs w:val="28"/>
        </w:rPr>
        <w:t>1763</w:t>
      </w:r>
      <w:r w:rsidRPr="00E95B6F">
        <w:rPr>
          <w:rFonts w:ascii="Times New Roman" w:eastAsia="仿宋_GB2312" w:hAnsi="Times New Roman" w:cs="Times New Roman"/>
          <w:bCs/>
          <w:kern w:val="44"/>
          <w:sz w:val="28"/>
          <w:szCs w:val="28"/>
        </w:rPr>
        <w:t>家</w:t>
      </w:r>
      <w:r>
        <w:rPr>
          <w:rFonts w:ascii="Times New Roman" w:eastAsia="仿宋_GB2312" w:hAnsi="Times New Roman" w:cs="Times New Roman" w:hint="eastAsia"/>
          <w:bCs/>
          <w:kern w:val="44"/>
          <w:sz w:val="28"/>
          <w:szCs w:val="28"/>
        </w:rPr>
        <w:t>废水排污单位</w:t>
      </w:r>
      <w:r w:rsidRPr="00E95B6F">
        <w:rPr>
          <w:rFonts w:ascii="Times New Roman" w:eastAsia="仿宋_GB2312" w:hAnsi="Times New Roman" w:cs="Times New Roman"/>
          <w:bCs/>
          <w:kern w:val="44"/>
          <w:sz w:val="28"/>
          <w:szCs w:val="28"/>
        </w:rPr>
        <w:t>开展</w:t>
      </w:r>
      <w:r>
        <w:rPr>
          <w:rFonts w:ascii="Times New Roman" w:eastAsia="仿宋_GB2312" w:hAnsi="Times New Roman" w:cs="Times New Roman" w:hint="eastAsia"/>
          <w:bCs/>
          <w:kern w:val="44"/>
          <w:sz w:val="28"/>
          <w:szCs w:val="28"/>
        </w:rPr>
        <w:t>了</w:t>
      </w:r>
      <w:r w:rsidRPr="00E95B6F">
        <w:rPr>
          <w:rFonts w:ascii="Times New Roman" w:eastAsia="仿宋_GB2312" w:hAnsi="Times New Roman" w:cs="Times New Roman"/>
          <w:bCs/>
          <w:kern w:val="44"/>
          <w:sz w:val="28"/>
          <w:szCs w:val="28"/>
        </w:rPr>
        <w:t>监测，总体达标率为</w:t>
      </w:r>
      <w:r>
        <w:rPr>
          <w:rFonts w:ascii="Times New Roman" w:eastAsia="仿宋_GB2312" w:hAnsi="Times New Roman" w:cs="Times New Roman"/>
          <w:bCs/>
          <w:kern w:val="44"/>
          <w:sz w:val="28"/>
          <w:szCs w:val="28"/>
        </w:rPr>
        <w:t>99.2</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。各设区市达标率范围为</w:t>
      </w:r>
      <w:r>
        <w:rPr>
          <w:rFonts w:ascii="Times New Roman" w:eastAsia="仿宋_GB2312" w:hAnsi="Times New Roman" w:cs="Times New Roman"/>
          <w:bCs/>
          <w:kern w:val="44"/>
          <w:sz w:val="28"/>
          <w:szCs w:val="28"/>
        </w:rPr>
        <w:t>98.3%</w:t>
      </w:r>
      <w:r w:rsidRPr="00E95B6F">
        <w:rPr>
          <w:rFonts w:ascii="Times New Roman" w:eastAsia="仿宋_GB2312" w:hAnsi="Times New Roman" w:cs="Times New Roman"/>
          <w:bCs/>
          <w:kern w:val="44"/>
          <w:sz w:val="28"/>
          <w:szCs w:val="28"/>
        </w:rPr>
        <w:t>-100%</w:t>
      </w:r>
      <w:r w:rsidR="008F2F85">
        <w:rPr>
          <w:rFonts w:ascii="Times New Roman" w:eastAsia="仿宋_GB2312" w:hAnsi="Times New Roman" w:cs="Times New Roman" w:hint="eastAsia"/>
          <w:bCs/>
          <w:kern w:val="44"/>
          <w:sz w:val="28"/>
          <w:szCs w:val="28"/>
        </w:rPr>
        <w:t>，其中杭州</w:t>
      </w:r>
      <w:r w:rsidR="008F2F85">
        <w:rPr>
          <w:rFonts w:ascii="Times New Roman" w:eastAsia="仿宋_GB2312" w:hAnsi="Times New Roman" w:cs="Times New Roman" w:hint="eastAsia"/>
          <w:bCs/>
          <w:kern w:val="44"/>
          <w:sz w:val="28"/>
          <w:szCs w:val="28"/>
        </w:rPr>
        <w:t>9</w:t>
      </w:r>
      <w:r w:rsidR="008F2F85">
        <w:rPr>
          <w:rFonts w:ascii="Times New Roman" w:eastAsia="仿宋_GB2312" w:hAnsi="Times New Roman" w:cs="Times New Roman"/>
          <w:bCs/>
          <w:kern w:val="44"/>
          <w:sz w:val="28"/>
          <w:szCs w:val="28"/>
        </w:rPr>
        <w:t>8.3%</w:t>
      </w:r>
      <w:r w:rsidR="008F2F85">
        <w:rPr>
          <w:rFonts w:ascii="Times New Roman" w:eastAsia="仿宋_GB2312" w:hAnsi="Times New Roman" w:cs="Times New Roman" w:hint="eastAsia"/>
          <w:bCs/>
          <w:kern w:val="44"/>
          <w:sz w:val="28"/>
          <w:szCs w:val="28"/>
        </w:rPr>
        <w:t>，</w:t>
      </w:r>
      <w:r w:rsidR="008F2F85">
        <w:rPr>
          <w:rFonts w:eastAsia="仿宋_GB2312" w:hint="eastAsia"/>
          <w:sz w:val="28"/>
          <w:szCs w:val="28"/>
        </w:rPr>
        <w:t>宁波、金华、舟山和丽水并列</w:t>
      </w:r>
      <w:r w:rsidR="008F2F85">
        <w:rPr>
          <w:rFonts w:eastAsia="仿宋_GB2312" w:hint="eastAsia"/>
          <w:sz w:val="28"/>
          <w:szCs w:val="28"/>
        </w:rPr>
        <w:t>1</w:t>
      </w:r>
      <w:r w:rsidR="008F2F85">
        <w:rPr>
          <w:rFonts w:eastAsia="仿宋_GB2312"/>
          <w:sz w:val="28"/>
          <w:szCs w:val="28"/>
        </w:rPr>
        <w:t>00%</w:t>
      </w:r>
      <w:r w:rsidRPr="00E95B6F">
        <w:rPr>
          <w:rFonts w:ascii="Times New Roman" w:eastAsia="仿宋_GB2312" w:hAnsi="Times New Roman" w:cs="Times New Roman"/>
          <w:bCs/>
          <w:kern w:val="44"/>
          <w:sz w:val="28"/>
          <w:szCs w:val="28"/>
        </w:rPr>
        <w:t>。涉及</w:t>
      </w:r>
      <w:r>
        <w:rPr>
          <w:rFonts w:ascii="Times New Roman" w:eastAsia="仿宋_GB2312" w:hAnsi="Times New Roman" w:cs="Times New Roman"/>
          <w:bCs/>
          <w:kern w:val="44"/>
          <w:sz w:val="28"/>
          <w:szCs w:val="28"/>
        </w:rPr>
        <w:t>40</w:t>
      </w:r>
      <w:r w:rsidRPr="00E95B6F">
        <w:rPr>
          <w:rFonts w:ascii="Times New Roman" w:eastAsia="仿宋_GB2312" w:hAnsi="Times New Roman" w:cs="Times New Roman"/>
          <w:bCs/>
          <w:kern w:val="44"/>
          <w:sz w:val="28"/>
          <w:szCs w:val="28"/>
        </w:rPr>
        <w:t>个行业大类，达标率范围为</w:t>
      </w:r>
      <w:r>
        <w:rPr>
          <w:rFonts w:ascii="Times New Roman" w:eastAsia="仿宋_GB2312" w:hAnsi="Times New Roman" w:cs="Times New Roman"/>
          <w:bCs/>
          <w:kern w:val="44"/>
          <w:sz w:val="28"/>
          <w:szCs w:val="28"/>
        </w:rPr>
        <w:t>91.3%</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lastRenderedPageBreak/>
        <w:t>100%</w:t>
      </w:r>
      <w:r>
        <w:rPr>
          <w:rFonts w:ascii="Times New Roman" w:eastAsia="仿宋_GB2312" w:hAnsi="Times New Roman" w:cs="Times New Roman" w:hint="eastAsia"/>
          <w:bCs/>
          <w:kern w:val="44"/>
          <w:sz w:val="28"/>
          <w:szCs w:val="28"/>
        </w:rPr>
        <w:t>（其中畜牧业</w:t>
      </w:r>
      <w:r w:rsidRPr="00682DC2">
        <w:rPr>
          <w:rFonts w:ascii="Times New Roman" w:eastAsia="仿宋_GB2312" w:hAnsi="Times New Roman" w:cs="Times New Roman" w:hint="eastAsia"/>
          <w:bCs/>
          <w:kern w:val="44"/>
          <w:sz w:val="28"/>
          <w:szCs w:val="28"/>
        </w:rPr>
        <w:t>监测</w:t>
      </w:r>
      <w:r>
        <w:rPr>
          <w:rFonts w:ascii="Times New Roman" w:eastAsia="仿宋_GB2312" w:hAnsi="Times New Roman" w:cs="Times New Roman"/>
          <w:bCs/>
          <w:kern w:val="44"/>
          <w:sz w:val="28"/>
          <w:szCs w:val="28"/>
        </w:rPr>
        <w:t>26</w:t>
      </w:r>
      <w:r w:rsidRPr="00682DC2">
        <w:rPr>
          <w:rFonts w:ascii="Times New Roman" w:eastAsia="仿宋_GB2312" w:hAnsi="Times New Roman" w:cs="Times New Roman" w:hint="eastAsia"/>
          <w:bCs/>
          <w:kern w:val="44"/>
          <w:sz w:val="28"/>
          <w:szCs w:val="28"/>
        </w:rPr>
        <w:t>家，达标率</w:t>
      </w:r>
      <w:r>
        <w:rPr>
          <w:rFonts w:ascii="Times New Roman" w:eastAsia="仿宋_GB2312" w:hAnsi="Times New Roman" w:cs="Times New Roman" w:hint="eastAsia"/>
          <w:bCs/>
          <w:kern w:val="44"/>
          <w:sz w:val="28"/>
          <w:szCs w:val="28"/>
        </w:rPr>
        <w:t>为</w:t>
      </w:r>
      <w:r>
        <w:rPr>
          <w:rFonts w:ascii="Times New Roman" w:eastAsia="仿宋_GB2312" w:hAnsi="Times New Roman" w:cs="Times New Roman"/>
          <w:bCs/>
          <w:kern w:val="44"/>
          <w:sz w:val="28"/>
          <w:szCs w:val="28"/>
        </w:rPr>
        <w:t>91.3</w:t>
      </w:r>
      <w:r w:rsidRPr="00682DC2">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）。根据监测企业数占比情况，把行业分为主要行业和其他行业。主要</w:t>
      </w:r>
      <w:r>
        <w:rPr>
          <w:rFonts w:ascii="Times New Roman" w:eastAsia="仿宋_GB2312" w:hAnsi="Times New Roman" w:cs="Times New Roman"/>
          <w:bCs/>
          <w:kern w:val="44"/>
          <w:sz w:val="28"/>
          <w:szCs w:val="28"/>
        </w:rPr>
        <w:t>行业包括</w:t>
      </w:r>
      <w:r>
        <w:rPr>
          <w:rFonts w:ascii="Times New Roman" w:eastAsia="仿宋_GB2312" w:hAnsi="Times New Roman" w:cs="Times New Roman" w:hint="eastAsia"/>
          <w:bCs/>
          <w:kern w:val="44"/>
          <w:sz w:val="28"/>
          <w:szCs w:val="28"/>
        </w:rPr>
        <w:t>金属</w:t>
      </w:r>
      <w:r>
        <w:rPr>
          <w:rFonts w:ascii="Times New Roman" w:eastAsia="仿宋_GB2312" w:hAnsi="Times New Roman" w:cs="Times New Roman"/>
          <w:bCs/>
          <w:kern w:val="44"/>
          <w:sz w:val="28"/>
          <w:szCs w:val="28"/>
        </w:rPr>
        <w:t>制品业、纺织业、</w:t>
      </w:r>
      <w:r>
        <w:rPr>
          <w:rFonts w:ascii="Times New Roman" w:eastAsia="仿宋_GB2312" w:hAnsi="Times New Roman" w:cs="Times New Roman" w:hint="eastAsia"/>
          <w:bCs/>
          <w:kern w:val="44"/>
          <w:sz w:val="28"/>
          <w:szCs w:val="28"/>
        </w:rPr>
        <w:t>化学原料</w:t>
      </w:r>
      <w:r>
        <w:rPr>
          <w:rFonts w:ascii="Times New Roman" w:eastAsia="仿宋_GB2312" w:hAnsi="Times New Roman" w:cs="Times New Roman"/>
          <w:bCs/>
          <w:kern w:val="44"/>
          <w:sz w:val="28"/>
          <w:szCs w:val="28"/>
        </w:rPr>
        <w:t>和</w:t>
      </w:r>
      <w:r>
        <w:rPr>
          <w:rFonts w:ascii="Times New Roman" w:eastAsia="仿宋_GB2312" w:hAnsi="Times New Roman" w:cs="Times New Roman" w:hint="eastAsia"/>
          <w:bCs/>
          <w:kern w:val="44"/>
          <w:sz w:val="28"/>
          <w:szCs w:val="28"/>
        </w:rPr>
        <w:t>化学</w:t>
      </w:r>
      <w:r>
        <w:rPr>
          <w:rFonts w:ascii="Times New Roman" w:eastAsia="仿宋_GB2312" w:hAnsi="Times New Roman" w:cs="Times New Roman"/>
          <w:bCs/>
          <w:kern w:val="44"/>
          <w:sz w:val="28"/>
          <w:szCs w:val="28"/>
        </w:rPr>
        <w:t>制品制造业等</w:t>
      </w:r>
      <w:r>
        <w:rPr>
          <w:rFonts w:ascii="Times New Roman" w:eastAsia="仿宋_GB2312" w:hAnsi="Times New Roman" w:cs="Times New Roman" w:hint="eastAsia"/>
          <w:bCs/>
          <w:kern w:val="44"/>
          <w:sz w:val="28"/>
          <w:szCs w:val="28"/>
        </w:rPr>
        <w:t>12</w:t>
      </w:r>
      <w:r>
        <w:rPr>
          <w:rFonts w:ascii="Times New Roman" w:eastAsia="仿宋_GB2312" w:hAnsi="Times New Roman" w:cs="Times New Roman" w:hint="eastAsia"/>
          <w:bCs/>
          <w:kern w:val="44"/>
          <w:sz w:val="28"/>
          <w:szCs w:val="28"/>
        </w:rPr>
        <w:t>个</w:t>
      </w:r>
      <w:r>
        <w:rPr>
          <w:rFonts w:ascii="Times New Roman" w:eastAsia="仿宋_GB2312" w:hAnsi="Times New Roman" w:cs="Times New Roman"/>
          <w:bCs/>
          <w:kern w:val="44"/>
          <w:sz w:val="28"/>
          <w:szCs w:val="28"/>
        </w:rPr>
        <w:t>行业，</w:t>
      </w:r>
      <w:r>
        <w:rPr>
          <w:rFonts w:ascii="Times New Roman" w:eastAsia="仿宋_GB2312" w:hAnsi="Times New Roman" w:cs="Times New Roman" w:hint="eastAsia"/>
          <w:bCs/>
          <w:kern w:val="44"/>
          <w:sz w:val="28"/>
          <w:szCs w:val="28"/>
        </w:rPr>
        <w:t>其他行业包括</w:t>
      </w:r>
      <w:r w:rsidRPr="006B0D02">
        <w:rPr>
          <w:rFonts w:ascii="Times New Roman" w:eastAsia="仿宋_GB2312" w:hAnsi="Times New Roman" w:cs="Times New Roman" w:hint="eastAsia"/>
          <w:bCs/>
          <w:kern w:val="44"/>
          <w:sz w:val="28"/>
          <w:szCs w:val="28"/>
        </w:rPr>
        <w:t>通用设备制造业</w:t>
      </w:r>
      <w:r>
        <w:rPr>
          <w:rFonts w:ascii="Times New Roman" w:eastAsia="仿宋_GB2312" w:hAnsi="Times New Roman" w:cs="Times New Roman" w:hint="eastAsia"/>
          <w:bCs/>
          <w:kern w:val="44"/>
          <w:sz w:val="28"/>
          <w:szCs w:val="28"/>
        </w:rPr>
        <w:t>、电气机械和器材制造业等</w:t>
      </w:r>
      <w:r>
        <w:rPr>
          <w:rFonts w:ascii="Times New Roman" w:eastAsia="仿宋_GB2312" w:hAnsi="Times New Roman" w:cs="Times New Roman" w:hint="eastAsia"/>
          <w:bCs/>
          <w:kern w:val="44"/>
          <w:sz w:val="28"/>
          <w:szCs w:val="28"/>
        </w:rPr>
        <w:t>2</w:t>
      </w:r>
      <w:r>
        <w:rPr>
          <w:rFonts w:ascii="Times New Roman" w:eastAsia="仿宋_GB2312" w:hAnsi="Times New Roman" w:cs="Times New Roman"/>
          <w:bCs/>
          <w:kern w:val="44"/>
          <w:sz w:val="28"/>
          <w:szCs w:val="28"/>
        </w:rPr>
        <w:t>8</w:t>
      </w:r>
      <w:r>
        <w:rPr>
          <w:rFonts w:ascii="Times New Roman" w:eastAsia="仿宋_GB2312" w:hAnsi="Times New Roman" w:cs="Times New Roman" w:hint="eastAsia"/>
          <w:bCs/>
          <w:kern w:val="44"/>
          <w:sz w:val="28"/>
          <w:szCs w:val="28"/>
        </w:rPr>
        <w:t>个行业</w:t>
      </w:r>
      <w:r w:rsidRPr="00E95B6F">
        <w:rPr>
          <w:rFonts w:ascii="Times New Roman" w:eastAsia="仿宋_GB2312" w:hAnsi="Times New Roman" w:cs="Times New Roman"/>
          <w:bCs/>
          <w:kern w:val="44"/>
          <w:sz w:val="28"/>
          <w:szCs w:val="28"/>
        </w:rPr>
        <w:t>。</w:t>
      </w:r>
    </w:p>
    <w:p w14:paraId="0E962785" w14:textId="4E72667B" w:rsidR="00565294" w:rsidRPr="00E95B6F" w:rsidRDefault="00B83A45" w:rsidP="00565294">
      <w:pPr>
        <w:spacing w:line="500" w:lineRule="exact"/>
        <w:jc w:val="center"/>
        <w:rPr>
          <w:rFonts w:ascii="Times New Roman" w:eastAsia="仿宋_GB2312" w:hAnsi="Times New Roman" w:cs="Times New Roman"/>
          <w:b/>
          <w:bCs/>
          <w:kern w:val="44"/>
          <w:sz w:val="24"/>
          <w:szCs w:val="24"/>
        </w:rPr>
      </w:pPr>
      <w:r>
        <w:rPr>
          <w:noProof/>
        </w:rPr>
        <w:drawing>
          <wp:anchor distT="0" distB="0" distL="114300" distR="114300" simplePos="0" relativeHeight="251713536" behindDoc="0" locked="0" layoutInCell="1" allowOverlap="1" wp14:anchorId="26AC77B0" wp14:editId="17340E96">
            <wp:simplePos x="0" y="0"/>
            <wp:positionH relativeFrom="column">
              <wp:posOffset>76200</wp:posOffset>
            </wp:positionH>
            <wp:positionV relativeFrom="paragraph">
              <wp:posOffset>1625600</wp:posOffset>
            </wp:positionV>
            <wp:extent cx="5274310" cy="3493770"/>
            <wp:effectExtent l="0" t="0" r="2540" b="0"/>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565294" w:rsidRPr="00E95B6F">
        <w:rPr>
          <w:rFonts w:ascii="Times New Roman" w:eastAsia="仿宋_GB2312" w:hAnsi="Times New Roman" w:cs="Times New Roman"/>
          <w:b/>
          <w:bCs/>
          <w:kern w:val="44"/>
          <w:sz w:val="24"/>
          <w:szCs w:val="24"/>
        </w:rPr>
        <w:t>表</w:t>
      </w:r>
      <w:r w:rsidR="00565294" w:rsidRPr="00E95B6F">
        <w:rPr>
          <w:rFonts w:ascii="Times New Roman" w:eastAsia="仿宋_GB2312" w:hAnsi="Times New Roman" w:cs="Times New Roman"/>
          <w:b/>
          <w:bCs/>
          <w:kern w:val="44"/>
          <w:sz w:val="24"/>
          <w:szCs w:val="24"/>
        </w:rPr>
        <w:t xml:space="preserve">1    </w:t>
      </w:r>
      <w:r w:rsidR="00565294">
        <w:rPr>
          <w:rFonts w:ascii="Times New Roman" w:eastAsia="仿宋_GB2312" w:hAnsi="Times New Roman" w:cs="Times New Roman" w:hint="eastAsia"/>
          <w:b/>
          <w:bCs/>
          <w:kern w:val="44"/>
          <w:sz w:val="24"/>
          <w:szCs w:val="24"/>
        </w:rPr>
        <w:t>废水排污单位分区域</w:t>
      </w:r>
      <w:r w:rsidR="00565294">
        <w:rPr>
          <w:rFonts w:ascii="Times New Roman" w:eastAsia="仿宋_GB2312" w:hAnsi="Times New Roman" w:cs="Times New Roman"/>
          <w:b/>
          <w:bCs/>
          <w:kern w:val="44"/>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03"/>
        <w:gridCol w:w="603"/>
        <w:gridCol w:w="603"/>
        <w:gridCol w:w="602"/>
        <w:gridCol w:w="602"/>
        <w:gridCol w:w="602"/>
        <w:gridCol w:w="602"/>
        <w:gridCol w:w="602"/>
        <w:gridCol w:w="602"/>
        <w:gridCol w:w="602"/>
        <w:gridCol w:w="645"/>
        <w:gridCol w:w="640"/>
      </w:tblGrid>
      <w:tr w:rsidR="00565294" w:rsidRPr="008213AD" w14:paraId="684B0942" w14:textId="77777777" w:rsidTr="005047AD">
        <w:trPr>
          <w:trHeight w:val="601"/>
          <w:jc w:val="center"/>
        </w:trPr>
        <w:tc>
          <w:tcPr>
            <w:tcW w:w="595" w:type="pct"/>
            <w:shd w:val="clear" w:color="auto" w:fill="auto"/>
            <w:vAlign w:val="center"/>
          </w:tcPr>
          <w:p w14:paraId="3176C60D" w14:textId="77777777" w:rsidR="00565294" w:rsidRPr="008213AD"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设区市</w:t>
            </w:r>
          </w:p>
        </w:tc>
        <w:tc>
          <w:tcPr>
            <w:tcW w:w="363" w:type="pct"/>
            <w:shd w:val="clear" w:color="auto" w:fill="auto"/>
            <w:vAlign w:val="center"/>
          </w:tcPr>
          <w:p w14:paraId="3498A50F" w14:textId="77777777" w:rsidR="00565294" w:rsidRPr="008213AD"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杭州</w:t>
            </w:r>
          </w:p>
        </w:tc>
        <w:tc>
          <w:tcPr>
            <w:tcW w:w="363" w:type="pct"/>
            <w:shd w:val="clear" w:color="auto" w:fill="auto"/>
            <w:vAlign w:val="center"/>
          </w:tcPr>
          <w:p w14:paraId="5F00FD19" w14:textId="77777777" w:rsidR="00565294" w:rsidRPr="008213AD"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宁波</w:t>
            </w:r>
          </w:p>
        </w:tc>
        <w:tc>
          <w:tcPr>
            <w:tcW w:w="363" w:type="pct"/>
            <w:shd w:val="clear" w:color="auto" w:fill="auto"/>
            <w:vAlign w:val="center"/>
          </w:tcPr>
          <w:p w14:paraId="43FAA151" w14:textId="77777777" w:rsidR="00565294" w:rsidRPr="008213AD"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温州</w:t>
            </w:r>
          </w:p>
        </w:tc>
        <w:tc>
          <w:tcPr>
            <w:tcW w:w="363" w:type="pct"/>
            <w:shd w:val="clear" w:color="auto" w:fill="auto"/>
            <w:vAlign w:val="center"/>
          </w:tcPr>
          <w:p w14:paraId="010B7639" w14:textId="77777777" w:rsidR="00565294" w:rsidRPr="008213AD"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hint="eastAsia"/>
                <w:bCs/>
                <w:kern w:val="44"/>
                <w:sz w:val="22"/>
              </w:rPr>
              <w:t>湖州</w:t>
            </w:r>
            <w:r w:rsidRPr="008213AD">
              <w:rPr>
                <w:rFonts w:ascii="Times New Roman" w:eastAsia="仿宋_GB2312" w:hAnsi="Times New Roman" w:cs="Times New Roman" w:hint="eastAsia"/>
                <w:bCs/>
                <w:kern w:val="44"/>
                <w:sz w:val="22"/>
              </w:rPr>
              <w:t xml:space="preserve"> </w:t>
            </w:r>
          </w:p>
        </w:tc>
        <w:tc>
          <w:tcPr>
            <w:tcW w:w="363" w:type="pct"/>
            <w:shd w:val="clear" w:color="auto" w:fill="auto"/>
            <w:vAlign w:val="center"/>
          </w:tcPr>
          <w:p w14:paraId="2FC31B5C" w14:textId="77777777" w:rsidR="00565294" w:rsidRPr="008213AD"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hint="eastAsia"/>
                <w:bCs/>
                <w:kern w:val="44"/>
                <w:sz w:val="22"/>
              </w:rPr>
              <w:t>嘉兴</w:t>
            </w:r>
          </w:p>
        </w:tc>
        <w:tc>
          <w:tcPr>
            <w:tcW w:w="363" w:type="pct"/>
            <w:shd w:val="clear" w:color="auto" w:fill="auto"/>
            <w:vAlign w:val="center"/>
          </w:tcPr>
          <w:p w14:paraId="6AFD6A2B" w14:textId="77777777" w:rsidR="00565294" w:rsidRPr="008213AD"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绍兴</w:t>
            </w:r>
          </w:p>
        </w:tc>
        <w:tc>
          <w:tcPr>
            <w:tcW w:w="363" w:type="pct"/>
            <w:shd w:val="clear" w:color="auto" w:fill="auto"/>
            <w:vAlign w:val="center"/>
          </w:tcPr>
          <w:p w14:paraId="16DEDF7C" w14:textId="77777777" w:rsidR="00565294" w:rsidRPr="008213AD"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金华</w:t>
            </w:r>
          </w:p>
        </w:tc>
        <w:tc>
          <w:tcPr>
            <w:tcW w:w="363" w:type="pct"/>
            <w:shd w:val="clear" w:color="auto" w:fill="auto"/>
            <w:vAlign w:val="center"/>
          </w:tcPr>
          <w:p w14:paraId="7F304A78" w14:textId="77777777" w:rsidR="00565294" w:rsidRPr="008213AD"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衢州</w:t>
            </w:r>
          </w:p>
        </w:tc>
        <w:tc>
          <w:tcPr>
            <w:tcW w:w="363" w:type="pct"/>
            <w:shd w:val="clear" w:color="auto" w:fill="auto"/>
            <w:vAlign w:val="center"/>
          </w:tcPr>
          <w:p w14:paraId="7AA5E729" w14:textId="77777777" w:rsidR="00565294" w:rsidRPr="008213AD"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舟山</w:t>
            </w:r>
          </w:p>
        </w:tc>
        <w:tc>
          <w:tcPr>
            <w:tcW w:w="363" w:type="pct"/>
            <w:shd w:val="clear" w:color="auto" w:fill="auto"/>
            <w:vAlign w:val="center"/>
          </w:tcPr>
          <w:p w14:paraId="49A1FC9D" w14:textId="77777777" w:rsidR="00565294" w:rsidRPr="008213AD"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台州</w:t>
            </w:r>
          </w:p>
        </w:tc>
        <w:tc>
          <w:tcPr>
            <w:tcW w:w="389" w:type="pct"/>
            <w:shd w:val="clear" w:color="auto" w:fill="auto"/>
            <w:vAlign w:val="center"/>
          </w:tcPr>
          <w:p w14:paraId="66650274" w14:textId="77777777" w:rsidR="00565294" w:rsidRPr="008213AD"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丽水</w:t>
            </w:r>
          </w:p>
        </w:tc>
        <w:tc>
          <w:tcPr>
            <w:tcW w:w="386" w:type="pct"/>
            <w:vAlign w:val="center"/>
          </w:tcPr>
          <w:p w14:paraId="4C1BF9CD" w14:textId="77777777" w:rsidR="00565294" w:rsidRPr="00DC4B64"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DC4B64">
              <w:rPr>
                <w:rFonts w:ascii="Times New Roman" w:eastAsia="仿宋_GB2312" w:hAnsi="Times New Roman" w:cs="Times New Roman"/>
                <w:bCs/>
                <w:kern w:val="44"/>
                <w:sz w:val="22"/>
              </w:rPr>
              <w:t>全省</w:t>
            </w:r>
          </w:p>
        </w:tc>
      </w:tr>
      <w:tr w:rsidR="00565294" w:rsidRPr="008213AD" w14:paraId="2B7AFE79" w14:textId="77777777" w:rsidTr="005047AD">
        <w:trPr>
          <w:trHeight w:val="644"/>
          <w:jc w:val="center"/>
        </w:trPr>
        <w:tc>
          <w:tcPr>
            <w:tcW w:w="595" w:type="pct"/>
            <w:shd w:val="clear" w:color="auto" w:fill="auto"/>
            <w:vAlign w:val="center"/>
          </w:tcPr>
          <w:p w14:paraId="21AF1660" w14:textId="77777777" w:rsidR="00565294" w:rsidRPr="008213AD"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54FA1BD8" w14:textId="77777777" w:rsidR="00565294" w:rsidRPr="008213AD"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（家）</w:t>
            </w:r>
          </w:p>
        </w:tc>
        <w:tc>
          <w:tcPr>
            <w:tcW w:w="363" w:type="pct"/>
            <w:shd w:val="clear" w:color="auto" w:fill="auto"/>
            <w:vAlign w:val="center"/>
          </w:tcPr>
          <w:p w14:paraId="1A0B0570"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180</w:t>
            </w:r>
          </w:p>
        </w:tc>
        <w:tc>
          <w:tcPr>
            <w:tcW w:w="363" w:type="pct"/>
            <w:shd w:val="clear" w:color="auto" w:fill="auto"/>
            <w:vAlign w:val="center"/>
          </w:tcPr>
          <w:p w14:paraId="33DC569B"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sidRPr="00B73A55">
              <w:rPr>
                <w:rFonts w:ascii="Times New Roman" w:eastAsia="等线" w:hAnsi="Times New Roman" w:cs="Times New Roman"/>
                <w:color w:val="000000"/>
                <w:sz w:val="24"/>
                <w:szCs w:val="24"/>
              </w:rPr>
              <w:t>301</w:t>
            </w:r>
          </w:p>
        </w:tc>
        <w:tc>
          <w:tcPr>
            <w:tcW w:w="363" w:type="pct"/>
            <w:shd w:val="clear" w:color="auto" w:fill="auto"/>
            <w:vAlign w:val="center"/>
          </w:tcPr>
          <w:p w14:paraId="26F345A3"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sidRPr="00B73A55">
              <w:rPr>
                <w:rFonts w:ascii="Times New Roman" w:eastAsia="等线" w:hAnsi="Times New Roman" w:cs="Times New Roman"/>
                <w:color w:val="000000"/>
                <w:sz w:val="24"/>
                <w:szCs w:val="24"/>
              </w:rPr>
              <w:t>41</w:t>
            </w:r>
            <w:r>
              <w:rPr>
                <w:rFonts w:ascii="Times New Roman" w:eastAsia="等线" w:hAnsi="Times New Roman" w:cs="Times New Roman"/>
                <w:color w:val="000000"/>
                <w:sz w:val="24"/>
                <w:szCs w:val="24"/>
              </w:rPr>
              <w:t>0</w:t>
            </w:r>
          </w:p>
        </w:tc>
        <w:tc>
          <w:tcPr>
            <w:tcW w:w="363" w:type="pct"/>
            <w:shd w:val="clear" w:color="auto" w:fill="auto"/>
            <w:vAlign w:val="center"/>
          </w:tcPr>
          <w:p w14:paraId="5DC34313"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sidRPr="00B73A55">
              <w:rPr>
                <w:rFonts w:ascii="Times New Roman" w:eastAsia="等线" w:hAnsi="Times New Roman" w:cs="Times New Roman"/>
                <w:color w:val="000000"/>
                <w:sz w:val="24"/>
                <w:szCs w:val="24"/>
              </w:rPr>
              <w:t>1</w:t>
            </w:r>
            <w:r>
              <w:rPr>
                <w:rFonts w:ascii="Times New Roman" w:eastAsia="等线" w:hAnsi="Times New Roman" w:cs="Times New Roman"/>
                <w:color w:val="000000"/>
                <w:sz w:val="24"/>
                <w:szCs w:val="24"/>
              </w:rPr>
              <w:t>14</w:t>
            </w:r>
          </w:p>
        </w:tc>
        <w:tc>
          <w:tcPr>
            <w:tcW w:w="363" w:type="pct"/>
            <w:shd w:val="clear" w:color="auto" w:fill="auto"/>
            <w:vAlign w:val="center"/>
          </w:tcPr>
          <w:p w14:paraId="26F106F9"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sidRPr="00B73A55">
              <w:rPr>
                <w:rFonts w:ascii="Times New Roman" w:eastAsia="等线" w:hAnsi="Times New Roman" w:cs="Times New Roman"/>
                <w:color w:val="000000"/>
                <w:sz w:val="24"/>
                <w:szCs w:val="24"/>
              </w:rPr>
              <w:t>1</w:t>
            </w:r>
            <w:r>
              <w:rPr>
                <w:rFonts w:ascii="Times New Roman" w:eastAsia="等线" w:hAnsi="Times New Roman" w:cs="Times New Roman"/>
                <w:color w:val="000000"/>
                <w:sz w:val="24"/>
                <w:szCs w:val="24"/>
              </w:rPr>
              <w:t>47</w:t>
            </w:r>
          </w:p>
        </w:tc>
        <w:tc>
          <w:tcPr>
            <w:tcW w:w="363" w:type="pct"/>
            <w:shd w:val="clear" w:color="auto" w:fill="auto"/>
            <w:vAlign w:val="center"/>
          </w:tcPr>
          <w:p w14:paraId="07A5347C"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sidRPr="00B73A55">
              <w:rPr>
                <w:rFonts w:ascii="Times New Roman" w:eastAsia="等线" w:hAnsi="Times New Roman" w:cs="Times New Roman"/>
                <w:color w:val="000000"/>
                <w:sz w:val="24"/>
                <w:szCs w:val="24"/>
              </w:rPr>
              <w:t>15</w:t>
            </w:r>
            <w:r>
              <w:rPr>
                <w:rFonts w:ascii="Times New Roman" w:eastAsia="等线" w:hAnsi="Times New Roman" w:cs="Times New Roman"/>
                <w:color w:val="000000"/>
                <w:sz w:val="24"/>
                <w:szCs w:val="24"/>
              </w:rPr>
              <w:t>4</w:t>
            </w:r>
          </w:p>
        </w:tc>
        <w:tc>
          <w:tcPr>
            <w:tcW w:w="363" w:type="pct"/>
            <w:shd w:val="clear" w:color="auto" w:fill="auto"/>
            <w:vAlign w:val="center"/>
          </w:tcPr>
          <w:p w14:paraId="67DB2B19"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sidRPr="00B73A55">
              <w:rPr>
                <w:rFonts w:ascii="Times New Roman" w:eastAsia="等线" w:hAnsi="Times New Roman" w:cs="Times New Roman"/>
                <w:color w:val="000000"/>
                <w:sz w:val="24"/>
                <w:szCs w:val="24"/>
              </w:rPr>
              <w:t>13</w:t>
            </w:r>
            <w:r>
              <w:rPr>
                <w:rFonts w:ascii="Times New Roman" w:eastAsia="等线" w:hAnsi="Times New Roman" w:cs="Times New Roman"/>
                <w:color w:val="000000"/>
                <w:sz w:val="24"/>
                <w:szCs w:val="24"/>
              </w:rPr>
              <w:t>2</w:t>
            </w:r>
          </w:p>
        </w:tc>
        <w:tc>
          <w:tcPr>
            <w:tcW w:w="363" w:type="pct"/>
            <w:shd w:val="clear" w:color="auto" w:fill="auto"/>
            <w:vAlign w:val="center"/>
          </w:tcPr>
          <w:p w14:paraId="5E1144CF"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51</w:t>
            </w:r>
          </w:p>
        </w:tc>
        <w:tc>
          <w:tcPr>
            <w:tcW w:w="363" w:type="pct"/>
            <w:shd w:val="clear" w:color="auto" w:fill="auto"/>
            <w:vAlign w:val="center"/>
          </w:tcPr>
          <w:p w14:paraId="57899429"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30</w:t>
            </w:r>
          </w:p>
        </w:tc>
        <w:tc>
          <w:tcPr>
            <w:tcW w:w="363" w:type="pct"/>
            <w:shd w:val="clear" w:color="auto" w:fill="auto"/>
            <w:vAlign w:val="center"/>
          </w:tcPr>
          <w:p w14:paraId="5405D65D"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207</w:t>
            </w:r>
          </w:p>
        </w:tc>
        <w:tc>
          <w:tcPr>
            <w:tcW w:w="389" w:type="pct"/>
            <w:shd w:val="clear" w:color="auto" w:fill="auto"/>
            <w:vAlign w:val="center"/>
          </w:tcPr>
          <w:p w14:paraId="7EFD9615"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37</w:t>
            </w:r>
          </w:p>
        </w:tc>
        <w:tc>
          <w:tcPr>
            <w:tcW w:w="386" w:type="pct"/>
            <w:vAlign w:val="center"/>
          </w:tcPr>
          <w:p w14:paraId="61739DD6" w14:textId="77777777" w:rsidR="00565294" w:rsidRPr="00DC4B64" w:rsidRDefault="00565294" w:rsidP="005047AD">
            <w:pPr>
              <w:ind w:leftChars="-50" w:left="-105" w:rightChars="-50" w:right="-105"/>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1763</w:t>
            </w:r>
          </w:p>
        </w:tc>
      </w:tr>
      <w:tr w:rsidR="00565294" w:rsidRPr="008213AD" w14:paraId="593468DC" w14:textId="77777777" w:rsidTr="005047AD">
        <w:trPr>
          <w:trHeight w:val="699"/>
          <w:jc w:val="center"/>
        </w:trPr>
        <w:tc>
          <w:tcPr>
            <w:tcW w:w="595" w:type="pct"/>
            <w:shd w:val="clear" w:color="auto" w:fill="auto"/>
            <w:vAlign w:val="center"/>
          </w:tcPr>
          <w:p w14:paraId="288138BB" w14:textId="77777777" w:rsidR="00565294" w:rsidRPr="008213AD"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006A306F" w14:textId="77777777" w:rsidR="00565294" w:rsidRPr="008213AD"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63" w:type="pct"/>
            <w:shd w:val="clear" w:color="auto" w:fill="auto"/>
            <w:vAlign w:val="center"/>
          </w:tcPr>
          <w:p w14:paraId="04D0C548"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sidRPr="008C0129">
              <w:rPr>
                <w:rFonts w:ascii="Times New Roman" w:eastAsia="等线" w:hAnsi="Times New Roman" w:cs="Times New Roman"/>
                <w:color w:val="000000"/>
                <w:sz w:val="24"/>
                <w:szCs w:val="24"/>
              </w:rPr>
              <w:t>9</w:t>
            </w:r>
            <w:r>
              <w:rPr>
                <w:rFonts w:ascii="Times New Roman" w:eastAsia="等线" w:hAnsi="Times New Roman" w:cs="Times New Roman"/>
                <w:color w:val="000000"/>
                <w:sz w:val="24"/>
                <w:szCs w:val="24"/>
              </w:rPr>
              <w:t>8.3</w:t>
            </w:r>
          </w:p>
        </w:tc>
        <w:tc>
          <w:tcPr>
            <w:tcW w:w="363" w:type="pct"/>
            <w:shd w:val="clear" w:color="auto" w:fill="auto"/>
            <w:vAlign w:val="center"/>
          </w:tcPr>
          <w:p w14:paraId="582CFC0D"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sidRPr="008C0129">
              <w:rPr>
                <w:rFonts w:ascii="Times New Roman" w:eastAsia="等线" w:hAnsi="Times New Roman" w:cs="Times New Roman"/>
                <w:color w:val="000000"/>
                <w:sz w:val="24"/>
                <w:szCs w:val="24"/>
              </w:rPr>
              <w:t>100</w:t>
            </w:r>
          </w:p>
        </w:tc>
        <w:tc>
          <w:tcPr>
            <w:tcW w:w="363" w:type="pct"/>
            <w:shd w:val="clear" w:color="auto" w:fill="auto"/>
            <w:vAlign w:val="center"/>
          </w:tcPr>
          <w:p w14:paraId="50CE5A18"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sidRPr="008C0129">
              <w:rPr>
                <w:rFonts w:ascii="Times New Roman" w:eastAsia="等线" w:hAnsi="Times New Roman" w:cs="Times New Roman"/>
                <w:color w:val="000000"/>
                <w:sz w:val="24"/>
                <w:szCs w:val="24"/>
              </w:rPr>
              <w:t>99.</w:t>
            </w:r>
            <w:r>
              <w:rPr>
                <w:rFonts w:ascii="Times New Roman" w:eastAsia="等线" w:hAnsi="Times New Roman" w:cs="Times New Roman"/>
                <w:color w:val="000000"/>
                <w:sz w:val="24"/>
                <w:szCs w:val="24"/>
              </w:rPr>
              <w:t>6</w:t>
            </w:r>
          </w:p>
        </w:tc>
        <w:tc>
          <w:tcPr>
            <w:tcW w:w="363" w:type="pct"/>
            <w:shd w:val="clear" w:color="auto" w:fill="auto"/>
            <w:vAlign w:val="center"/>
          </w:tcPr>
          <w:p w14:paraId="17631D5E"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99.6</w:t>
            </w:r>
          </w:p>
        </w:tc>
        <w:tc>
          <w:tcPr>
            <w:tcW w:w="363" w:type="pct"/>
            <w:shd w:val="clear" w:color="auto" w:fill="auto"/>
            <w:vAlign w:val="center"/>
          </w:tcPr>
          <w:p w14:paraId="506A6009"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sidRPr="008C0129">
              <w:rPr>
                <w:rFonts w:ascii="Times New Roman" w:eastAsia="等线" w:hAnsi="Times New Roman" w:cs="Times New Roman"/>
                <w:color w:val="000000"/>
                <w:sz w:val="24"/>
                <w:szCs w:val="24"/>
              </w:rPr>
              <w:t>98.6</w:t>
            </w:r>
          </w:p>
        </w:tc>
        <w:tc>
          <w:tcPr>
            <w:tcW w:w="363" w:type="pct"/>
            <w:shd w:val="clear" w:color="auto" w:fill="auto"/>
            <w:vAlign w:val="center"/>
          </w:tcPr>
          <w:p w14:paraId="1BF31EA6"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98.4</w:t>
            </w:r>
          </w:p>
        </w:tc>
        <w:tc>
          <w:tcPr>
            <w:tcW w:w="363" w:type="pct"/>
            <w:shd w:val="clear" w:color="auto" w:fill="auto"/>
            <w:vAlign w:val="center"/>
          </w:tcPr>
          <w:p w14:paraId="58EB96ED"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sidRPr="008C0129">
              <w:rPr>
                <w:rFonts w:ascii="Times New Roman" w:eastAsia="等线" w:hAnsi="Times New Roman" w:cs="Times New Roman"/>
                <w:color w:val="000000"/>
                <w:sz w:val="24"/>
                <w:szCs w:val="24"/>
              </w:rPr>
              <w:t>100</w:t>
            </w:r>
          </w:p>
        </w:tc>
        <w:tc>
          <w:tcPr>
            <w:tcW w:w="363" w:type="pct"/>
            <w:shd w:val="clear" w:color="auto" w:fill="auto"/>
            <w:vAlign w:val="center"/>
          </w:tcPr>
          <w:p w14:paraId="6109ED05"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sidRPr="008C0129">
              <w:rPr>
                <w:rFonts w:ascii="Times New Roman" w:eastAsia="等线" w:hAnsi="Times New Roman" w:cs="Times New Roman"/>
                <w:color w:val="000000"/>
                <w:sz w:val="24"/>
                <w:szCs w:val="24"/>
              </w:rPr>
              <w:t>9</w:t>
            </w:r>
            <w:r>
              <w:rPr>
                <w:rFonts w:ascii="Times New Roman" w:eastAsia="等线" w:hAnsi="Times New Roman" w:cs="Times New Roman"/>
                <w:color w:val="000000"/>
                <w:sz w:val="24"/>
                <w:szCs w:val="24"/>
              </w:rPr>
              <w:t>8.4</w:t>
            </w:r>
          </w:p>
        </w:tc>
        <w:tc>
          <w:tcPr>
            <w:tcW w:w="363" w:type="pct"/>
            <w:shd w:val="clear" w:color="auto" w:fill="auto"/>
            <w:vAlign w:val="center"/>
          </w:tcPr>
          <w:p w14:paraId="54D6BA5F"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sidRPr="008C0129">
              <w:rPr>
                <w:rFonts w:ascii="Times New Roman" w:eastAsia="等线" w:hAnsi="Times New Roman" w:cs="Times New Roman"/>
                <w:color w:val="000000"/>
                <w:sz w:val="24"/>
                <w:szCs w:val="24"/>
              </w:rPr>
              <w:t>100</w:t>
            </w:r>
          </w:p>
        </w:tc>
        <w:tc>
          <w:tcPr>
            <w:tcW w:w="363" w:type="pct"/>
            <w:shd w:val="clear" w:color="auto" w:fill="auto"/>
            <w:vAlign w:val="center"/>
          </w:tcPr>
          <w:p w14:paraId="4CB8BB62"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sidRPr="008C0129">
              <w:rPr>
                <w:rFonts w:ascii="Times New Roman" w:eastAsia="等线" w:hAnsi="Times New Roman" w:cs="Times New Roman"/>
                <w:color w:val="000000"/>
                <w:sz w:val="24"/>
                <w:szCs w:val="24"/>
              </w:rPr>
              <w:t>9</w:t>
            </w:r>
            <w:r>
              <w:rPr>
                <w:rFonts w:ascii="Times New Roman" w:eastAsia="等线" w:hAnsi="Times New Roman" w:cs="Times New Roman"/>
                <w:color w:val="000000"/>
                <w:sz w:val="24"/>
                <w:szCs w:val="24"/>
              </w:rPr>
              <w:t>8.5</w:t>
            </w:r>
          </w:p>
        </w:tc>
        <w:tc>
          <w:tcPr>
            <w:tcW w:w="389" w:type="pct"/>
            <w:shd w:val="clear" w:color="auto" w:fill="auto"/>
            <w:vAlign w:val="center"/>
          </w:tcPr>
          <w:p w14:paraId="65F97584" w14:textId="77777777" w:rsidR="00565294" w:rsidRPr="008213AD" w:rsidRDefault="00565294" w:rsidP="005047AD">
            <w:pPr>
              <w:ind w:leftChars="-50" w:left="-105" w:rightChars="-50" w:right="-105"/>
              <w:jc w:val="center"/>
              <w:rPr>
                <w:rFonts w:ascii="Times New Roman" w:eastAsia="仿宋_GB2312" w:hAnsi="Times New Roman" w:cs="Times New Roman"/>
                <w:bCs/>
                <w:kern w:val="44"/>
                <w:sz w:val="22"/>
              </w:rPr>
            </w:pPr>
            <w:r w:rsidRPr="008C0129">
              <w:rPr>
                <w:rFonts w:ascii="Times New Roman" w:eastAsia="等线" w:hAnsi="Times New Roman" w:cs="Times New Roman"/>
                <w:color w:val="000000"/>
                <w:sz w:val="24"/>
                <w:szCs w:val="24"/>
              </w:rPr>
              <w:t>100</w:t>
            </w:r>
          </w:p>
        </w:tc>
        <w:tc>
          <w:tcPr>
            <w:tcW w:w="386" w:type="pct"/>
            <w:vAlign w:val="center"/>
          </w:tcPr>
          <w:p w14:paraId="2E1E3DC5" w14:textId="77777777" w:rsidR="00565294" w:rsidRPr="00DC4B64" w:rsidRDefault="00565294" w:rsidP="005047AD">
            <w:pPr>
              <w:ind w:leftChars="-50" w:left="-105" w:rightChars="-50" w:right="-105"/>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99.2</w:t>
            </w:r>
          </w:p>
        </w:tc>
      </w:tr>
    </w:tbl>
    <w:p w14:paraId="1C944A90" w14:textId="42D3B527" w:rsidR="00565294" w:rsidRPr="00FF4B0B" w:rsidRDefault="00565294" w:rsidP="00565294">
      <w:pPr>
        <w:spacing w:line="360" w:lineRule="auto"/>
        <w:jc w:val="center"/>
        <w:rPr>
          <w:rFonts w:ascii="Times New Roman" w:eastAsia="仿宋_GB2312" w:hAnsi="Times New Roman" w:cs="Times New Roman"/>
          <w:bCs/>
          <w:kern w:val="44"/>
          <w:sz w:val="28"/>
          <w:szCs w:val="28"/>
        </w:rPr>
      </w:pPr>
      <w:r w:rsidRPr="00E95B6F">
        <w:rPr>
          <w:rFonts w:ascii="Times New Roman" w:eastAsia="仿宋_GB2312" w:hAnsi="Times New Roman" w:cs="Times New Roman"/>
          <w:b/>
          <w:bCs/>
          <w:kern w:val="44"/>
          <w:sz w:val="24"/>
          <w:szCs w:val="24"/>
        </w:rPr>
        <w:t>图</w:t>
      </w:r>
      <w:r w:rsidRPr="00E95B6F">
        <w:rPr>
          <w:rFonts w:ascii="Times New Roman" w:eastAsia="仿宋_GB2312" w:hAnsi="Times New Roman" w:cs="Times New Roman"/>
          <w:b/>
          <w:bCs/>
          <w:kern w:val="44"/>
          <w:sz w:val="24"/>
          <w:szCs w:val="24"/>
        </w:rPr>
        <w:t xml:space="preserve">1   </w:t>
      </w:r>
      <w:r>
        <w:rPr>
          <w:rFonts w:ascii="Times New Roman" w:eastAsia="仿宋_GB2312" w:hAnsi="Times New Roman" w:cs="Times New Roman"/>
          <w:b/>
          <w:bCs/>
          <w:kern w:val="44"/>
          <w:sz w:val="24"/>
          <w:szCs w:val="24"/>
        </w:rPr>
        <w:t xml:space="preserve"> </w:t>
      </w:r>
      <w:r>
        <w:rPr>
          <w:rFonts w:ascii="Times New Roman" w:eastAsia="仿宋_GB2312" w:hAnsi="Times New Roman" w:cs="Times New Roman" w:hint="eastAsia"/>
          <w:b/>
          <w:bCs/>
          <w:kern w:val="44"/>
          <w:sz w:val="24"/>
          <w:szCs w:val="24"/>
        </w:rPr>
        <w:t xml:space="preserve"> </w:t>
      </w:r>
      <w:r>
        <w:rPr>
          <w:rFonts w:ascii="Times New Roman" w:eastAsia="仿宋_GB2312" w:hAnsi="Times New Roman" w:cs="Times New Roman" w:hint="eastAsia"/>
          <w:b/>
          <w:bCs/>
          <w:kern w:val="44"/>
          <w:sz w:val="24"/>
          <w:szCs w:val="24"/>
        </w:rPr>
        <w:t>废水排污单位分行业达标情况（按企业数排序）</w:t>
      </w:r>
    </w:p>
    <w:p w14:paraId="7FFD4043" w14:textId="28F7AC47" w:rsidR="00565294" w:rsidRDefault="00565294" w:rsidP="00565294">
      <w:pPr>
        <w:spacing w:line="560" w:lineRule="exact"/>
        <w:ind w:firstLineChars="200" w:firstLine="560"/>
        <w:rPr>
          <w:rFonts w:ascii="Times New Roman" w:eastAsia="仿宋_GB2312" w:hAnsi="Times New Roman" w:cs="Times New Roman"/>
          <w:bCs/>
          <w:kern w:val="44"/>
          <w:sz w:val="28"/>
          <w:szCs w:val="28"/>
        </w:rPr>
      </w:pPr>
      <w:r w:rsidRPr="00E50106">
        <w:rPr>
          <w:rFonts w:ascii="Times New Roman" w:eastAsia="仿宋_GB2312" w:hAnsi="Times New Roman" w:cs="Times New Roman" w:hint="eastAsia"/>
          <w:bCs/>
          <w:kern w:val="44"/>
          <w:sz w:val="28"/>
          <w:szCs w:val="28"/>
        </w:rPr>
        <w:t>与上年相比，达标率上升了</w:t>
      </w:r>
      <w:r>
        <w:rPr>
          <w:rFonts w:ascii="Times New Roman" w:eastAsia="仿宋_GB2312" w:hAnsi="Times New Roman" w:cs="Times New Roman"/>
          <w:bCs/>
          <w:kern w:val="44"/>
          <w:sz w:val="28"/>
          <w:szCs w:val="28"/>
        </w:rPr>
        <w:t>2.3</w:t>
      </w:r>
      <w:r w:rsidRPr="00E50106">
        <w:rPr>
          <w:rFonts w:ascii="Times New Roman" w:eastAsia="仿宋_GB2312" w:hAnsi="Times New Roman" w:cs="Times New Roman" w:hint="eastAsia"/>
          <w:bCs/>
          <w:kern w:val="44"/>
          <w:sz w:val="28"/>
          <w:szCs w:val="28"/>
        </w:rPr>
        <w:t>个百分点。各设区市中，</w:t>
      </w:r>
      <w:r w:rsidR="002032BF">
        <w:rPr>
          <w:rFonts w:ascii="Times New Roman" w:eastAsia="仿宋_GB2312" w:hAnsi="Times New Roman" w:cs="Times New Roman" w:hint="eastAsia"/>
          <w:bCs/>
          <w:kern w:val="44"/>
          <w:sz w:val="28"/>
          <w:szCs w:val="28"/>
        </w:rPr>
        <w:t>绍兴、舟山、湖州、衢州和</w:t>
      </w:r>
      <w:r>
        <w:rPr>
          <w:rFonts w:ascii="Times New Roman" w:eastAsia="仿宋_GB2312" w:hAnsi="Times New Roman" w:cs="Times New Roman" w:hint="eastAsia"/>
          <w:bCs/>
          <w:kern w:val="44"/>
          <w:sz w:val="28"/>
          <w:szCs w:val="28"/>
        </w:rPr>
        <w:t>台州</w:t>
      </w:r>
      <w:r w:rsidR="008F2F85">
        <w:rPr>
          <w:rFonts w:ascii="Times New Roman" w:eastAsia="仿宋_GB2312" w:hAnsi="Times New Roman" w:cs="Times New Roman" w:hint="eastAsia"/>
          <w:bCs/>
          <w:kern w:val="44"/>
          <w:sz w:val="28"/>
          <w:szCs w:val="28"/>
        </w:rPr>
        <w:t>达标率</w:t>
      </w:r>
      <w:r w:rsidRPr="00E50106">
        <w:rPr>
          <w:rFonts w:ascii="Times New Roman" w:eastAsia="仿宋_GB2312" w:hAnsi="Times New Roman" w:cs="Times New Roman" w:hint="eastAsia"/>
          <w:bCs/>
          <w:kern w:val="44"/>
          <w:sz w:val="28"/>
          <w:szCs w:val="28"/>
        </w:rPr>
        <w:t>有所上升，升幅为</w:t>
      </w:r>
      <w:r>
        <w:rPr>
          <w:rFonts w:ascii="Times New Roman" w:eastAsia="仿宋_GB2312" w:hAnsi="Times New Roman" w:cs="Times New Roman"/>
          <w:bCs/>
          <w:kern w:val="44"/>
          <w:sz w:val="28"/>
          <w:szCs w:val="28"/>
        </w:rPr>
        <w:t>0.4</w:t>
      </w:r>
      <w:r w:rsidRPr="00E50106">
        <w:rPr>
          <w:rFonts w:ascii="Times New Roman" w:eastAsia="仿宋_GB2312" w:hAnsi="Times New Roman" w:cs="Times New Roman" w:hint="eastAsia"/>
          <w:bCs/>
          <w:kern w:val="44"/>
          <w:sz w:val="28"/>
          <w:szCs w:val="28"/>
        </w:rPr>
        <w:t>-</w:t>
      </w:r>
      <w:r>
        <w:rPr>
          <w:rFonts w:ascii="Times New Roman" w:eastAsia="仿宋_GB2312" w:hAnsi="Times New Roman" w:cs="Times New Roman"/>
          <w:bCs/>
          <w:kern w:val="44"/>
          <w:sz w:val="28"/>
          <w:szCs w:val="28"/>
        </w:rPr>
        <w:t>12.6</w:t>
      </w:r>
      <w:r w:rsidRPr="00E50106">
        <w:rPr>
          <w:rFonts w:ascii="Times New Roman" w:eastAsia="仿宋_GB2312" w:hAnsi="Times New Roman" w:cs="Times New Roman" w:hint="eastAsia"/>
          <w:bCs/>
          <w:kern w:val="44"/>
          <w:sz w:val="28"/>
          <w:szCs w:val="28"/>
        </w:rPr>
        <w:t>个百分点；杭州</w:t>
      </w:r>
      <w:r>
        <w:rPr>
          <w:rFonts w:ascii="Times New Roman" w:eastAsia="仿宋_GB2312" w:hAnsi="Times New Roman" w:cs="Times New Roman" w:hint="eastAsia"/>
          <w:bCs/>
          <w:kern w:val="44"/>
          <w:sz w:val="28"/>
          <w:szCs w:val="28"/>
        </w:rPr>
        <w:t>和嘉兴达标率有所下降，降幅分别为</w:t>
      </w:r>
      <w:r>
        <w:rPr>
          <w:rFonts w:ascii="Times New Roman" w:eastAsia="仿宋_GB2312" w:hAnsi="Times New Roman" w:cs="Times New Roman"/>
          <w:bCs/>
          <w:kern w:val="44"/>
          <w:sz w:val="28"/>
          <w:szCs w:val="28"/>
        </w:rPr>
        <w:t>0.4</w:t>
      </w:r>
      <w:r>
        <w:rPr>
          <w:rFonts w:ascii="Times New Roman" w:eastAsia="仿宋_GB2312" w:hAnsi="Times New Roman" w:cs="Times New Roman" w:hint="eastAsia"/>
          <w:bCs/>
          <w:kern w:val="44"/>
          <w:sz w:val="28"/>
          <w:szCs w:val="28"/>
        </w:rPr>
        <w:t>和</w:t>
      </w:r>
      <w:r>
        <w:rPr>
          <w:rFonts w:ascii="Times New Roman" w:eastAsia="仿宋_GB2312" w:hAnsi="Times New Roman" w:cs="Times New Roman"/>
          <w:bCs/>
          <w:kern w:val="44"/>
          <w:sz w:val="28"/>
          <w:szCs w:val="28"/>
        </w:rPr>
        <w:t>1.1</w:t>
      </w:r>
      <w:r w:rsidRPr="00E50106">
        <w:rPr>
          <w:rFonts w:ascii="Times New Roman" w:eastAsia="仿宋_GB2312" w:hAnsi="Times New Roman" w:cs="Times New Roman" w:hint="eastAsia"/>
          <w:bCs/>
          <w:kern w:val="44"/>
          <w:sz w:val="28"/>
          <w:szCs w:val="28"/>
        </w:rPr>
        <w:t>个百分点；</w:t>
      </w:r>
      <w:r>
        <w:rPr>
          <w:rFonts w:ascii="Times New Roman" w:eastAsia="仿宋_GB2312" w:hAnsi="Times New Roman" w:cs="Times New Roman" w:hint="eastAsia"/>
          <w:bCs/>
          <w:kern w:val="44"/>
          <w:sz w:val="28"/>
          <w:szCs w:val="28"/>
        </w:rPr>
        <w:t>其余各市</w:t>
      </w:r>
      <w:r w:rsidR="008F2F85">
        <w:rPr>
          <w:rFonts w:ascii="Times New Roman" w:eastAsia="仿宋_GB2312" w:hAnsi="Times New Roman" w:cs="Times New Roman" w:hint="eastAsia"/>
          <w:bCs/>
          <w:kern w:val="44"/>
          <w:sz w:val="28"/>
          <w:szCs w:val="28"/>
        </w:rPr>
        <w:t>均</w:t>
      </w:r>
      <w:r w:rsidRPr="00E50106">
        <w:rPr>
          <w:rFonts w:ascii="Times New Roman" w:eastAsia="仿宋_GB2312" w:hAnsi="Times New Roman" w:cs="Times New Roman" w:hint="eastAsia"/>
          <w:bCs/>
          <w:kern w:val="44"/>
          <w:sz w:val="28"/>
          <w:szCs w:val="28"/>
        </w:rPr>
        <w:t>持平</w:t>
      </w:r>
      <w:r>
        <w:rPr>
          <w:rFonts w:ascii="Times New Roman" w:eastAsia="仿宋_GB2312" w:hAnsi="Times New Roman" w:cs="Times New Roman" w:hint="eastAsia"/>
          <w:bCs/>
          <w:kern w:val="44"/>
          <w:sz w:val="28"/>
          <w:szCs w:val="28"/>
        </w:rPr>
        <w:t>。</w:t>
      </w:r>
      <w:r w:rsidRPr="002A2D40">
        <w:rPr>
          <w:rFonts w:ascii="Times New Roman" w:eastAsia="仿宋_GB2312" w:hAnsi="Times New Roman" w:cs="Times New Roman"/>
          <w:bCs/>
          <w:kern w:val="44"/>
          <w:sz w:val="28"/>
          <w:szCs w:val="28"/>
        </w:rPr>
        <w:t>各主要行业</w:t>
      </w:r>
      <w:r>
        <w:rPr>
          <w:rFonts w:ascii="Times New Roman" w:eastAsia="仿宋_GB2312" w:hAnsi="Times New Roman" w:cs="Times New Roman" w:hint="eastAsia"/>
          <w:bCs/>
          <w:kern w:val="44"/>
          <w:sz w:val="28"/>
          <w:szCs w:val="28"/>
        </w:rPr>
        <w:t>中，</w:t>
      </w:r>
      <w:r w:rsidR="002032BF">
        <w:rPr>
          <w:rFonts w:ascii="Times New Roman" w:eastAsia="仿宋_GB2312" w:hAnsi="Times New Roman" w:cs="Times New Roman" w:hint="eastAsia"/>
          <w:bCs/>
          <w:kern w:val="44"/>
          <w:sz w:val="28"/>
          <w:szCs w:val="28"/>
        </w:rPr>
        <w:t>纺织业、</w:t>
      </w:r>
      <w:r w:rsidR="002032BF" w:rsidRPr="00C01372">
        <w:rPr>
          <w:rFonts w:ascii="Times New Roman" w:eastAsia="仿宋_GB2312" w:hAnsi="Times New Roman" w:cs="Times New Roman" w:hint="eastAsia"/>
          <w:bCs/>
          <w:kern w:val="44"/>
          <w:sz w:val="28"/>
          <w:szCs w:val="28"/>
        </w:rPr>
        <w:t>医药制造业</w:t>
      </w:r>
      <w:r w:rsidR="002032BF">
        <w:rPr>
          <w:rFonts w:ascii="Times New Roman" w:eastAsia="仿宋_GB2312" w:hAnsi="Times New Roman" w:cs="Times New Roman" w:hint="eastAsia"/>
          <w:bCs/>
          <w:kern w:val="44"/>
          <w:sz w:val="28"/>
          <w:szCs w:val="28"/>
        </w:rPr>
        <w:t>、</w:t>
      </w:r>
      <w:r w:rsidR="002032BF" w:rsidRPr="00C01372">
        <w:rPr>
          <w:rFonts w:ascii="Times New Roman" w:eastAsia="仿宋_GB2312" w:hAnsi="Times New Roman" w:cs="Times New Roman" w:hint="eastAsia"/>
          <w:bCs/>
          <w:kern w:val="44"/>
          <w:sz w:val="28"/>
          <w:szCs w:val="28"/>
        </w:rPr>
        <w:t>生态保护和环境治理业</w:t>
      </w:r>
      <w:r w:rsidR="002032BF">
        <w:rPr>
          <w:rFonts w:ascii="Times New Roman" w:eastAsia="仿宋_GB2312" w:hAnsi="Times New Roman" w:cs="Times New Roman" w:hint="eastAsia"/>
          <w:bCs/>
          <w:kern w:val="44"/>
          <w:sz w:val="28"/>
          <w:szCs w:val="28"/>
        </w:rPr>
        <w:t>达标率</w:t>
      </w:r>
      <w:r w:rsidR="002032BF" w:rsidRPr="002A2D40">
        <w:rPr>
          <w:rFonts w:ascii="Times New Roman" w:eastAsia="仿宋_GB2312" w:hAnsi="Times New Roman" w:cs="Times New Roman" w:hint="eastAsia"/>
          <w:bCs/>
          <w:kern w:val="44"/>
          <w:sz w:val="28"/>
          <w:szCs w:val="28"/>
        </w:rPr>
        <w:t>有所</w:t>
      </w:r>
      <w:r w:rsidR="002032BF">
        <w:rPr>
          <w:rFonts w:ascii="Times New Roman" w:eastAsia="仿宋_GB2312" w:hAnsi="Times New Roman" w:cs="Times New Roman" w:hint="eastAsia"/>
          <w:bCs/>
          <w:kern w:val="44"/>
          <w:sz w:val="28"/>
          <w:szCs w:val="28"/>
        </w:rPr>
        <w:t>上升</w:t>
      </w:r>
      <w:r w:rsidR="002032BF" w:rsidRPr="002A2D40">
        <w:rPr>
          <w:rFonts w:ascii="Times New Roman" w:eastAsia="仿宋_GB2312" w:hAnsi="Times New Roman" w:cs="Times New Roman" w:hint="eastAsia"/>
          <w:bCs/>
          <w:kern w:val="44"/>
          <w:sz w:val="28"/>
          <w:szCs w:val="28"/>
        </w:rPr>
        <w:t>，</w:t>
      </w:r>
      <w:r w:rsidR="002032BF">
        <w:rPr>
          <w:rFonts w:ascii="Times New Roman" w:eastAsia="仿宋_GB2312" w:hAnsi="Times New Roman" w:cs="Times New Roman" w:hint="eastAsia"/>
          <w:bCs/>
          <w:kern w:val="44"/>
          <w:sz w:val="28"/>
          <w:szCs w:val="28"/>
        </w:rPr>
        <w:t>升幅</w:t>
      </w:r>
      <w:r w:rsidR="002032BF" w:rsidRPr="002A2D40">
        <w:rPr>
          <w:rFonts w:ascii="Times New Roman" w:eastAsia="仿宋_GB2312" w:hAnsi="Times New Roman" w:cs="Times New Roman" w:hint="eastAsia"/>
          <w:bCs/>
          <w:kern w:val="44"/>
          <w:sz w:val="28"/>
          <w:szCs w:val="28"/>
        </w:rPr>
        <w:t>为</w:t>
      </w:r>
      <w:r w:rsidR="002032BF">
        <w:rPr>
          <w:rFonts w:ascii="Times New Roman" w:eastAsia="仿宋_GB2312" w:hAnsi="Times New Roman" w:cs="Times New Roman" w:hint="eastAsia"/>
          <w:bCs/>
          <w:kern w:val="44"/>
          <w:sz w:val="28"/>
          <w:szCs w:val="28"/>
        </w:rPr>
        <w:t>0.</w:t>
      </w:r>
      <w:r w:rsidR="002032BF">
        <w:rPr>
          <w:rFonts w:ascii="Times New Roman" w:eastAsia="仿宋_GB2312" w:hAnsi="Times New Roman" w:cs="Times New Roman"/>
          <w:bCs/>
          <w:kern w:val="44"/>
          <w:sz w:val="28"/>
          <w:szCs w:val="28"/>
        </w:rPr>
        <w:t>1-12.5</w:t>
      </w:r>
      <w:r w:rsidR="002032BF">
        <w:rPr>
          <w:rFonts w:ascii="Times New Roman" w:eastAsia="仿宋_GB2312" w:hAnsi="Times New Roman" w:cs="Times New Roman"/>
          <w:bCs/>
          <w:kern w:val="44"/>
          <w:sz w:val="28"/>
          <w:szCs w:val="28"/>
        </w:rPr>
        <w:t>个百分点</w:t>
      </w:r>
      <w:r w:rsidR="002032BF">
        <w:rPr>
          <w:rFonts w:ascii="Times New Roman" w:eastAsia="仿宋_GB2312" w:hAnsi="Times New Roman" w:cs="Times New Roman" w:hint="eastAsia"/>
          <w:bCs/>
          <w:kern w:val="44"/>
          <w:sz w:val="28"/>
          <w:szCs w:val="28"/>
        </w:rPr>
        <w:t>；</w:t>
      </w:r>
      <w:r w:rsidR="002032BF" w:rsidRPr="009023DC">
        <w:rPr>
          <w:rFonts w:ascii="Times New Roman" w:eastAsia="仿宋_GB2312" w:hAnsi="Times New Roman" w:cs="Times New Roman" w:hint="eastAsia"/>
          <w:bCs/>
          <w:kern w:val="44"/>
          <w:sz w:val="28"/>
          <w:szCs w:val="28"/>
        </w:rPr>
        <w:t>化学原料和化学</w:t>
      </w:r>
      <w:r w:rsidR="002032BF" w:rsidRPr="009023DC">
        <w:rPr>
          <w:rFonts w:ascii="Times New Roman" w:eastAsia="仿宋_GB2312" w:hAnsi="Times New Roman" w:cs="Times New Roman" w:hint="eastAsia"/>
          <w:bCs/>
          <w:kern w:val="44"/>
          <w:sz w:val="28"/>
          <w:szCs w:val="28"/>
        </w:rPr>
        <w:lastRenderedPageBreak/>
        <w:t>制品制造业</w:t>
      </w:r>
      <w:r w:rsidR="002032BF">
        <w:rPr>
          <w:rFonts w:ascii="Times New Roman" w:eastAsia="仿宋_GB2312" w:hAnsi="Times New Roman" w:cs="Times New Roman" w:hint="eastAsia"/>
          <w:bCs/>
          <w:kern w:val="44"/>
          <w:sz w:val="28"/>
          <w:szCs w:val="28"/>
        </w:rPr>
        <w:t>、</w:t>
      </w:r>
      <w:r w:rsidR="002032BF" w:rsidRPr="009023DC">
        <w:rPr>
          <w:rFonts w:ascii="Times New Roman" w:eastAsia="仿宋_GB2312" w:hAnsi="Times New Roman" w:cs="Times New Roman" w:hint="eastAsia"/>
          <w:bCs/>
          <w:kern w:val="44"/>
          <w:sz w:val="28"/>
          <w:szCs w:val="28"/>
        </w:rPr>
        <w:t>农副食品加工业</w:t>
      </w:r>
      <w:r w:rsidR="002032BF">
        <w:rPr>
          <w:rFonts w:ascii="Times New Roman" w:eastAsia="仿宋_GB2312" w:hAnsi="Times New Roman" w:cs="Times New Roman" w:hint="eastAsia"/>
          <w:bCs/>
          <w:kern w:val="44"/>
          <w:sz w:val="28"/>
          <w:szCs w:val="28"/>
        </w:rPr>
        <w:t>、</w:t>
      </w:r>
      <w:r w:rsidR="002032BF" w:rsidRPr="009023DC">
        <w:rPr>
          <w:rFonts w:ascii="Times New Roman" w:eastAsia="仿宋_GB2312" w:hAnsi="Times New Roman" w:cs="Times New Roman" w:hint="eastAsia"/>
          <w:bCs/>
          <w:kern w:val="44"/>
          <w:sz w:val="28"/>
          <w:szCs w:val="28"/>
        </w:rPr>
        <w:t>金属制品业</w:t>
      </w:r>
      <w:r w:rsidR="002032BF">
        <w:rPr>
          <w:rFonts w:ascii="Times New Roman" w:eastAsia="仿宋_GB2312" w:hAnsi="Times New Roman" w:cs="Times New Roman" w:hint="eastAsia"/>
          <w:bCs/>
          <w:kern w:val="44"/>
          <w:sz w:val="28"/>
          <w:szCs w:val="28"/>
        </w:rPr>
        <w:t>和</w:t>
      </w:r>
      <w:r w:rsidRPr="009023DC">
        <w:rPr>
          <w:rFonts w:ascii="Times New Roman" w:eastAsia="仿宋_GB2312" w:hAnsi="Times New Roman" w:cs="Times New Roman" w:hint="eastAsia"/>
          <w:bCs/>
          <w:kern w:val="44"/>
          <w:sz w:val="28"/>
          <w:szCs w:val="28"/>
        </w:rPr>
        <w:t>电力、热力生产和供应业</w:t>
      </w:r>
      <w:r>
        <w:rPr>
          <w:rFonts w:ascii="Times New Roman" w:eastAsia="仿宋_GB2312" w:hAnsi="Times New Roman" w:cs="Times New Roman" w:hint="eastAsia"/>
          <w:bCs/>
          <w:kern w:val="44"/>
          <w:sz w:val="28"/>
          <w:szCs w:val="28"/>
        </w:rPr>
        <w:t>达标率有所下降，降幅为</w:t>
      </w:r>
      <w:r>
        <w:rPr>
          <w:rFonts w:ascii="Times New Roman" w:eastAsia="仿宋_GB2312" w:hAnsi="Times New Roman" w:cs="Times New Roman"/>
          <w:bCs/>
          <w:kern w:val="44"/>
          <w:sz w:val="28"/>
          <w:szCs w:val="28"/>
        </w:rPr>
        <w:t>0.2</w:t>
      </w:r>
      <w:r>
        <w:rPr>
          <w:rFonts w:ascii="Times New Roman" w:eastAsia="仿宋_GB2312" w:hAnsi="Times New Roman" w:cs="Times New Roman" w:hint="eastAsia"/>
          <w:bCs/>
          <w:kern w:val="44"/>
          <w:sz w:val="28"/>
          <w:szCs w:val="28"/>
        </w:rPr>
        <w:t>-</w:t>
      </w:r>
      <w:r>
        <w:rPr>
          <w:rFonts w:ascii="Times New Roman" w:eastAsia="仿宋_GB2312" w:hAnsi="Times New Roman" w:cs="Times New Roman"/>
          <w:bCs/>
          <w:kern w:val="44"/>
          <w:sz w:val="28"/>
          <w:szCs w:val="28"/>
        </w:rPr>
        <w:t>3.5</w:t>
      </w:r>
      <w:r>
        <w:rPr>
          <w:rFonts w:ascii="Times New Roman" w:eastAsia="仿宋_GB2312" w:hAnsi="Times New Roman" w:cs="Times New Roman" w:hint="eastAsia"/>
          <w:bCs/>
          <w:kern w:val="44"/>
          <w:sz w:val="28"/>
          <w:szCs w:val="28"/>
        </w:rPr>
        <w:t>个百分点；其余各行业</w:t>
      </w:r>
      <w:r w:rsidR="008F2F85">
        <w:rPr>
          <w:rFonts w:ascii="Times New Roman" w:eastAsia="仿宋_GB2312" w:hAnsi="Times New Roman" w:cs="Times New Roman" w:hint="eastAsia"/>
          <w:bCs/>
          <w:kern w:val="44"/>
          <w:sz w:val="28"/>
          <w:szCs w:val="28"/>
        </w:rPr>
        <w:t>均</w:t>
      </w:r>
      <w:r>
        <w:rPr>
          <w:rFonts w:ascii="Times New Roman" w:eastAsia="仿宋_GB2312" w:hAnsi="Times New Roman" w:cs="Times New Roman" w:hint="eastAsia"/>
          <w:bCs/>
          <w:kern w:val="44"/>
          <w:sz w:val="28"/>
          <w:szCs w:val="28"/>
        </w:rPr>
        <w:t>持平。</w:t>
      </w:r>
    </w:p>
    <w:p w14:paraId="31975542" w14:textId="4E67B3DC" w:rsidR="00565294" w:rsidRDefault="00B95E97" w:rsidP="00565294">
      <w:pPr>
        <w:spacing w:line="360" w:lineRule="auto"/>
        <w:jc w:val="center"/>
        <w:rPr>
          <w:rFonts w:ascii="Times New Roman" w:eastAsia="仿宋_GB2312" w:hAnsi="Times New Roman" w:cs="Times New Roman"/>
          <w:bCs/>
          <w:kern w:val="44"/>
          <w:sz w:val="28"/>
          <w:szCs w:val="28"/>
        </w:rPr>
      </w:pPr>
      <w:r>
        <w:rPr>
          <w:noProof/>
        </w:rPr>
        <w:drawing>
          <wp:inline distT="0" distB="0" distL="0" distR="0" wp14:anchorId="7B6BEBB7" wp14:editId="4FA92648">
            <wp:extent cx="5224464" cy="27051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AE95D4" w14:textId="77777777" w:rsidR="00565294" w:rsidRDefault="00565294" w:rsidP="00565294">
      <w:pPr>
        <w:spacing w:line="360" w:lineRule="auto"/>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Pr>
          <w:rFonts w:ascii="Times New Roman" w:eastAsia="仿宋_GB2312" w:hAnsi="Times New Roman" w:cs="Times New Roman" w:hint="eastAsia"/>
          <w:b/>
          <w:bCs/>
          <w:kern w:val="44"/>
          <w:sz w:val="24"/>
          <w:szCs w:val="24"/>
        </w:rPr>
        <w:t>2</w:t>
      </w:r>
      <w:r>
        <w:rPr>
          <w:rFonts w:ascii="Times New Roman" w:eastAsia="仿宋_GB2312" w:hAnsi="Times New Roman" w:cs="Times New Roman"/>
          <w:b/>
          <w:bCs/>
          <w:kern w:val="44"/>
          <w:sz w:val="24"/>
          <w:szCs w:val="24"/>
        </w:rPr>
        <w:t xml:space="preserve">    </w:t>
      </w:r>
      <w:r>
        <w:rPr>
          <w:rFonts w:ascii="Times New Roman" w:eastAsia="仿宋_GB2312" w:hAnsi="Times New Roman" w:cs="Times New Roman" w:hint="eastAsia"/>
          <w:b/>
          <w:bCs/>
          <w:kern w:val="44"/>
          <w:sz w:val="24"/>
          <w:szCs w:val="24"/>
        </w:rPr>
        <w:t>废水排污单位分区域</w:t>
      </w:r>
      <w:r w:rsidRPr="00CC5182">
        <w:rPr>
          <w:rFonts w:ascii="仿宋_GB2312" w:eastAsia="仿宋_GB2312" w:hAnsi="华文楷体" w:hint="eastAsia"/>
          <w:b/>
          <w:bCs/>
          <w:kern w:val="44"/>
          <w:sz w:val="24"/>
          <w:szCs w:val="24"/>
        </w:rPr>
        <w:t>达标率变化情况</w:t>
      </w:r>
      <w:r>
        <w:rPr>
          <w:rFonts w:ascii="仿宋_GB2312" w:eastAsia="仿宋_GB2312" w:hAnsi="华文楷体" w:hint="eastAsia"/>
          <w:b/>
          <w:bCs/>
          <w:kern w:val="44"/>
          <w:sz w:val="24"/>
          <w:szCs w:val="24"/>
        </w:rPr>
        <w:t>（按变化百分点排序）</w:t>
      </w:r>
    </w:p>
    <w:p w14:paraId="65B6991D" w14:textId="38293CDB" w:rsidR="00565294" w:rsidRDefault="00B95E97" w:rsidP="00565294">
      <w:pPr>
        <w:spacing w:line="360" w:lineRule="auto"/>
        <w:ind w:leftChars="-67" w:hangingChars="67" w:hanging="141"/>
        <w:jc w:val="center"/>
        <w:rPr>
          <w:rFonts w:ascii="Times New Roman" w:eastAsia="仿宋_GB2312" w:hAnsi="Times New Roman" w:cs="Times New Roman"/>
          <w:b/>
          <w:bCs/>
          <w:kern w:val="44"/>
          <w:sz w:val="24"/>
          <w:szCs w:val="24"/>
        </w:rPr>
      </w:pPr>
      <w:r>
        <w:rPr>
          <w:noProof/>
        </w:rPr>
        <w:drawing>
          <wp:inline distT="0" distB="0" distL="0" distR="0" wp14:anchorId="21107095" wp14:editId="0E623989">
            <wp:extent cx="5057775" cy="3766185"/>
            <wp:effectExtent l="0" t="0" r="0" b="57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1CE918" w14:textId="77777777" w:rsidR="00565294" w:rsidRPr="00E95B6F" w:rsidRDefault="00565294" w:rsidP="00565294">
      <w:pPr>
        <w:spacing w:line="360" w:lineRule="auto"/>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图</w:t>
      </w:r>
      <w:r>
        <w:rPr>
          <w:rFonts w:ascii="Times New Roman" w:eastAsia="仿宋_GB2312" w:hAnsi="Times New Roman" w:cs="Times New Roman" w:hint="eastAsia"/>
          <w:b/>
          <w:bCs/>
          <w:kern w:val="44"/>
          <w:sz w:val="24"/>
          <w:szCs w:val="24"/>
        </w:rPr>
        <w:t>3</w:t>
      </w:r>
      <w:r>
        <w:rPr>
          <w:rFonts w:ascii="Times New Roman" w:eastAsia="仿宋_GB2312" w:hAnsi="Times New Roman" w:cs="Times New Roman"/>
          <w:b/>
          <w:bCs/>
          <w:kern w:val="44"/>
          <w:sz w:val="24"/>
          <w:szCs w:val="24"/>
        </w:rPr>
        <w:t xml:space="preserve">    </w:t>
      </w:r>
      <w:r>
        <w:rPr>
          <w:rFonts w:ascii="Times New Roman" w:eastAsia="仿宋_GB2312" w:hAnsi="Times New Roman" w:cs="Times New Roman" w:hint="eastAsia"/>
          <w:b/>
          <w:bCs/>
          <w:kern w:val="44"/>
          <w:sz w:val="24"/>
          <w:szCs w:val="24"/>
        </w:rPr>
        <w:t>废水排污单位分行业</w:t>
      </w:r>
      <w:r w:rsidRPr="00CC5182">
        <w:rPr>
          <w:rFonts w:ascii="仿宋_GB2312" w:eastAsia="仿宋_GB2312" w:hAnsi="华文楷体" w:hint="eastAsia"/>
          <w:b/>
          <w:bCs/>
          <w:kern w:val="44"/>
          <w:sz w:val="24"/>
          <w:szCs w:val="24"/>
        </w:rPr>
        <w:t>达标率变化情况</w:t>
      </w:r>
      <w:r>
        <w:rPr>
          <w:rFonts w:ascii="仿宋_GB2312" w:eastAsia="仿宋_GB2312" w:hAnsi="华文楷体" w:hint="eastAsia"/>
          <w:b/>
          <w:bCs/>
          <w:kern w:val="44"/>
          <w:sz w:val="24"/>
          <w:szCs w:val="24"/>
        </w:rPr>
        <w:t>（按变化百分点排序）</w:t>
      </w:r>
    </w:p>
    <w:p w14:paraId="55270559" w14:textId="77777777" w:rsidR="00565294" w:rsidRPr="00E87A17" w:rsidRDefault="00565294" w:rsidP="00565294">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2</w:t>
      </w:r>
      <w:r w:rsidRPr="00F70D6C">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超标分析</w:t>
      </w:r>
    </w:p>
    <w:p w14:paraId="55051A0C" w14:textId="28C744FE" w:rsidR="00565294" w:rsidRPr="00E95B6F" w:rsidRDefault="00565294" w:rsidP="00565294">
      <w:pPr>
        <w:spacing w:line="560" w:lineRule="exact"/>
        <w:ind w:firstLineChars="200" w:firstLine="560"/>
        <w:rPr>
          <w:rFonts w:ascii="Times New Roman" w:eastAsia="仿宋_GB2312" w:hAnsi="Times New Roman" w:cs="Times New Roman"/>
          <w:bCs/>
          <w:kern w:val="44"/>
          <w:sz w:val="28"/>
          <w:szCs w:val="28"/>
        </w:rPr>
      </w:pPr>
      <w:r w:rsidRPr="00E50106">
        <w:rPr>
          <w:rFonts w:ascii="Times New Roman" w:eastAsia="仿宋_GB2312" w:hAnsi="Times New Roman" w:cs="Times New Roman" w:hint="eastAsia"/>
          <w:bCs/>
          <w:noProof/>
          <w:kern w:val="44"/>
          <w:sz w:val="28"/>
          <w:szCs w:val="28"/>
        </w:rPr>
        <w:t>存在超标的企业共</w:t>
      </w:r>
      <w:r>
        <w:rPr>
          <w:rFonts w:ascii="Times New Roman" w:eastAsia="仿宋_GB2312" w:hAnsi="Times New Roman" w:cs="Times New Roman"/>
          <w:bCs/>
          <w:noProof/>
          <w:kern w:val="44"/>
          <w:sz w:val="28"/>
          <w:szCs w:val="28"/>
        </w:rPr>
        <w:t>21</w:t>
      </w:r>
      <w:r w:rsidRPr="00E50106">
        <w:rPr>
          <w:rFonts w:ascii="Times New Roman" w:eastAsia="仿宋_GB2312" w:hAnsi="Times New Roman" w:cs="Times New Roman" w:hint="eastAsia"/>
          <w:bCs/>
          <w:noProof/>
          <w:kern w:val="44"/>
          <w:sz w:val="28"/>
          <w:szCs w:val="28"/>
        </w:rPr>
        <w:t>家，其中</w:t>
      </w:r>
      <w:r>
        <w:rPr>
          <w:rFonts w:ascii="Times New Roman" w:eastAsia="仿宋_GB2312" w:hAnsi="Times New Roman" w:cs="Times New Roman" w:hint="eastAsia"/>
          <w:bCs/>
          <w:noProof/>
          <w:kern w:val="44"/>
          <w:sz w:val="28"/>
          <w:szCs w:val="28"/>
        </w:rPr>
        <w:t>台州</w:t>
      </w:r>
      <w:r w:rsidRPr="00E50106">
        <w:rPr>
          <w:rFonts w:ascii="Times New Roman" w:eastAsia="仿宋_GB2312" w:hAnsi="Times New Roman" w:cs="Times New Roman" w:hint="eastAsia"/>
          <w:bCs/>
          <w:noProof/>
          <w:kern w:val="44"/>
          <w:sz w:val="28"/>
          <w:szCs w:val="28"/>
        </w:rPr>
        <w:t>超标企业占比最高，为</w:t>
      </w:r>
      <w:r>
        <w:rPr>
          <w:rFonts w:ascii="Times New Roman" w:eastAsia="仿宋_GB2312" w:hAnsi="Times New Roman" w:cs="Times New Roman"/>
          <w:bCs/>
          <w:noProof/>
          <w:kern w:val="44"/>
          <w:sz w:val="28"/>
          <w:szCs w:val="28"/>
        </w:rPr>
        <w:t>33.3%</w:t>
      </w:r>
      <w:r w:rsidRPr="00E50106">
        <w:rPr>
          <w:rFonts w:ascii="Times New Roman" w:eastAsia="仿宋_GB2312" w:hAnsi="Times New Roman" w:cs="Times New Roman" w:hint="eastAsia"/>
          <w:bCs/>
          <w:noProof/>
          <w:kern w:val="44"/>
          <w:sz w:val="28"/>
          <w:szCs w:val="28"/>
        </w:rPr>
        <w:t>。</w:t>
      </w:r>
      <w:r w:rsidR="0006710B" w:rsidRPr="00E95B6F">
        <w:rPr>
          <w:rFonts w:ascii="Times New Roman" w:eastAsia="仿宋_GB2312" w:hAnsi="Times New Roman" w:cs="Times New Roman"/>
          <w:bCs/>
          <w:kern w:val="44"/>
          <w:sz w:val="28"/>
          <w:szCs w:val="28"/>
        </w:rPr>
        <w:lastRenderedPageBreak/>
        <w:t>超标行业以纺织业占比最高，达到</w:t>
      </w:r>
      <w:r w:rsidR="0006710B">
        <w:rPr>
          <w:rFonts w:ascii="Times New Roman" w:eastAsia="仿宋_GB2312" w:hAnsi="Times New Roman" w:cs="Times New Roman"/>
          <w:bCs/>
          <w:kern w:val="44"/>
          <w:sz w:val="28"/>
          <w:szCs w:val="28"/>
        </w:rPr>
        <w:t>28.6</w:t>
      </w:r>
      <w:r w:rsidR="0006710B" w:rsidRPr="00E95B6F">
        <w:rPr>
          <w:rFonts w:ascii="Times New Roman" w:eastAsia="仿宋_GB2312" w:hAnsi="Times New Roman" w:cs="Times New Roman"/>
          <w:bCs/>
          <w:kern w:val="44"/>
          <w:sz w:val="28"/>
          <w:szCs w:val="28"/>
        </w:rPr>
        <w:t>%</w:t>
      </w:r>
      <w:r w:rsidR="0006710B">
        <w:rPr>
          <w:rFonts w:ascii="Times New Roman" w:eastAsia="仿宋_GB2312" w:hAnsi="Times New Roman" w:cs="Times New Roman" w:hint="eastAsia"/>
          <w:bCs/>
          <w:kern w:val="44"/>
          <w:sz w:val="28"/>
          <w:szCs w:val="28"/>
        </w:rPr>
        <w:t>。</w:t>
      </w:r>
      <w:r w:rsidRPr="00E50106">
        <w:rPr>
          <w:rFonts w:ascii="Times New Roman" w:eastAsia="仿宋_GB2312" w:hAnsi="Times New Roman" w:cs="Times New Roman" w:hint="eastAsia"/>
          <w:bCs/>
          <w:noProof/>
          <w:kern w:val="44"/>
          <w:sz w:val="28"/>
          <w:szCs w:val="28"/>
        </w:rPr>
        <w:t>超标指标以</w:t>
      </w:r>
      <w:r>
        <w:rPr>
          <w:rFonts w:ascii="Times New Roman" w:eastAsia="仿宋_GB2312" w:hAnsi="Times New Roman" w:cs="Times New Roman" w:hint="eastAsia"/>
          <w:bCs/>
          <w:noProof/>
          <w:kern w:val="44"/>
          <w:sz w:val="28"/>
          <w:szCs w:val="28"/>
        </w:rPr>
        <w:t>化学需氧量、总氮</w:t>
      </w:r>
      <w:r w:rsidRPr="00E50106">
        <w:rPr>
          <w:rFonts w:ascii="Times New Roman" w:eastAsia="仿宋_GB2312" w:hAnsi="Times New Roman" w:cs="Times New Roman" w:hint="eastAsia"/>
          <w:bCs/>
          <w:noProof/>
          <w:kern w:val="44"/>
          <w:sz w:val="28"/>
          <w:szCs w:val="28"/>
        </w:rPr>
        <w:t>和</w:t>
      </w:r>
      <w:r>
        <w:rPr>
          <w:rFonts w:ascii="Times New Roman" w:eastAsia="仿宋_GB2312" w:hAnsi="Times New Roman" w:cs="Times New Roman" w:hint="eastAsia"/>
          <w:bCs/>
          <w:noProof/>
          <w:kern w:val="44"/>
          <w:sz w:val="28"/>
          <w:szCs w:val="28"/>
        </w:rPr>
        <w:t>总锑</w:t>
      </w:r>
      <w:r w:rsidRPr="00E50106">
        <w:rPr>
          <w:rFonts w:ascii="Times New Roman" w:eastAsia="仿宋_GB2312" w:hAnsi="Times New Roman" w:cs="Times New Roman" w:hint="eastAsia"/>
          <w:bCs/>
          <w:noProof/>
          <w:kern w:val="44"/>
          <w:sz w:val="28"/>
          <w:szCs w:val="28"/>
        </w:rPr>
        <w:t>为主，均占超标指标总个数（</w:t>
      </w:r>
      <w:r>
        <w:rPr>
          <w:rFonts w:ascii="Times New Roman" w:eastAsia="仿宋_GB2312" w:hAnsi="Times New Roman" w:cs="Times New Roman"/>
          <w:bCs/>
          <w:noProof/>
          <w:kern w:val="44"/>
          <w:sz w:val="28"/>
          <w:szCs w:val="28"/>
        </w:rPr>
        <w:t>34</w:t>
      </w:r>
      <w:r>
        <w:rPr>
          <w:rFonts w:ascii="Times New Roman" w:eastAsia="仿宋_GB2312" w:hAnsi="Times New Roman" w:cs="Times New Roman" w:hint="eastAsia"/>
          <w:bCs/>
          <w:noProof/>
          <w:kern w:val="44"/>
          <w:sz w:val="28"/>
          <w:szCs w:val="28"/>
        </w:rPr>
        <w:t>个</w:t>
      </w:r>
      <w:r w:rsidRPr="00E50106">
        <w:rPr>
          <w:rFonts w:ascii="Times New Roman" w:eastAsia="仿宋_GB2312" w:hAnsi="Times New Roman" w:cs="Times New Roman" w:hint="eastAsia"/>
          <w:bCs/>
          <w:noProof/>
          <w:kern w:val="44"/>
          <w:sz w:val="28"/>
          <w:szCs w:val="28"/>
        </w:rPr>
        <w:t>）的</w:t>
      </w:r>
      <w:r w:rsidRPr="00E50106">
        <w:rPr>
          <w:rFonts w:ascii="Times New Roman" w:eastAsia="仿宋_GB2312" w:hAnsi="Times New Roman" w:cs="Times New Roman" w:hint="eastAsia"/>
          <w:bCs/>
          <w:noProof/>
          <w:kern w:val="44"/>
          <w:sz w:val="28"/>
          <w:szCs w:val="28"/>
        </w:rPr>
        <w:t>1</w:t>
      </w:r>
      <w:r>
        <w:rPr>
          <w:rFonts w:ascii="Times New Roman" w:eastAsia="仿宋_GB2312" w:hAnsi="Times New Roman" w:cs="Times New Roman"/>
          <w:bCs/>
          <w:noProof/>
          <w:kern w:val="44"/>
          <w:sz w:val="28"/>
          <w:szCs w:val="28"/>
        </w:rPr>
        <w:t>1.8</w:t>
      </w:r>
      <w:r w:rsidRPr="00E50106">
        <w:rPr>
          <w:rFonts w:ascii="Times New Roman" w:eastAsia="仿宋_GB2312" w:hAnsi="Times New Roman" w:cs="Times New Roman" w:hint="eastAsia"/>
          <w:bCs/>
          <w:noProof/>
          <w:kern w:val="44"/>
          <w:sz w:val="28"/>
          <w:szCs w:val="28"/>
        </w:rPr>
        <w:t>%</w:t>
      </w:r>
      <w:r w:rsidRPr="00E95B6F">
        <w:rPr>
          <w:rFonts w:ascii="Times New Roman" w:eastAsia="仿宋_GB2312" w:hAnsi="Times New Roman" w:cs="Times New Roman"/>
          <w:bCs/>
          <w:kern w:val="44"/>
          <w:sz w:val="28"/>
          <w:szCs w:val="28"/>
        </w:rPr>
        <w:t>。</w:t>
      </w:r>
    </w:p>
    <w:p w14:paraId="3FC51BB8" w14:textId="64DB1F21" w:rsidR="00565294" w:rsidRPr="00E95B6F" w:rsidRDefault="003A1EB1" w:rsidP="00565294">
      <w:pPr>
        <w:spacing w:line="500" w:lineRule="exact"/>
        <w:jc w:val="center"/>
        <w:rPr>
          <w:rFonts w:ascii="Times New Roman" w:eastAsia="仿宋_GB2312" w:hAnsi="Times New Roman" w:cs="Times New Roman"/>
          <w:b/>
          <w:bCs/>
          <w:kern w:val="44"/>
          <w:sz w:val="24"/>
          <w:szCs w:val="24"/>
        </w:rPr>
      </w:pPr>
      <w:r>
        <w:rPr>
          <w:noProof/>
        </w:rPr>
        <w:drawing>
          <wp:anchor distT="0" distB="0" distL="114300" distR="114300" simplePos="0" relativeHeight="251707392" behindDoc="0" locked="0" layoutInCell="1" allowOverlap="1" wp14:anchorId="6950D593" wp14:editId="536280C6">
            <wp:simplePos x="0" y="0"/>
            <wp:positionH relativeFrom="column">
              <wp:posOffset>428625</wp:posOffset>
            </wp:positionH>
            <wp:positionV relativeFrom="paragraph">
              <wp:posOffset>1546225</wp:posOffset>
            </wp:positionV>
            <wp:extent cx="4721860" cy="2705100"/>
            <wp:effectExtent l="0" t="0" r="2540" b="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00565294" w:rsidRPr="00E95B6F">
        <w:rPr>
          <w:rFonts w:ascii="Times New Roman" w:eastAsia="仿宋_GB2312" w:hAnsi="Times New Roman" w:cs="Times New Roman"/>
          <w:b/>
          <w:bCs/>
          <w:kern w:val="44"/>
          <w:sz w:val="24"/>
          <w:szCs w:val="24"/>
        </w:rPr>
        <w:t>表</w:t>
      </w:r>
      <w:r w:rsidR="00565294" w:rsidRPr="00E95B6F">
        <w:rPr>
          <w:rFonts w:ascii="Times New Roman" w:eastAsia="仿宋_GB2312" w:hAnsi="Times New Roman" w:cs="Times New Roman"/>
          <w:b/>
          <w:bCs/>
          <w:kern w:val="44"/>
          <w:sz w:val="24"/>
          <w:szCs w:val="24"/>
        </w:rPr>
        <w:t xml:space="preserve">2   </w:t>
      </w:r>
      <w:r w:rsidR="00565294">
        <w:rPr>
          <w:rFonts w:ascii="Times New Roman" w:eastAsia="仿宋_GB2312" w:hAnsi="Times New Roman" w:cs="Times New Roman"/>
          <w:b/>
          <w:bCs/>
          <w:kern w:val="44"/>
          <w:sz w:val="24"/>
          <w:szCs w:val="24"/>
        </w:rPr>
        <w:t xml:space="preserve"> </w:t>
      </w:r>
      <w:r w:rsidR="00565294">
        <w:rPr>
          <w:rFonts w:ascii="Times New Roman" w:eastAsia="仿宋_GB2312" w:hAnsi="Times New Roman" w:cs="Times New Roman" w:hint="eastAsia"/>
          <w:b/>
          <w:bCs/>
          <w:kern w:val="44"/>
          <w:sz w:val="24"/>
          <w:szCs w:val="24"/>
        </w:rPr>
        <w:t>废水排污单位分区域</w:t>
      </w:r>
      <w:r w:rsidR="00565294">
        <w:rPr>
          <w:rFonts w:ascii="Times New Roman" w:eastAsia="仿宋_GB2312" w:hAnsi="Times New Roman" w:cs="Times New Roman"/>
          <w:b/>
          <w:bCs/>
          <w:kern w:val="44"/>
          <w:sz w:val="24"/>
          <w:szCs w:val="24"/>
        </w:rPr>
        <w:t>超标情况</w:t>
      </w:r>
    </w:p>
    <w:tbl>
      <w:tblPr>
        <w:tblW w:w="5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61"/>
        <w:gridCol w:w="598"/>
        <w:gridCol w:w="598"/>
        <w:gridCol w:w="598"/>
        <w:gridCol w:w="597"/>
        <w:gridCol w:w="597"/>
        <w:gridCol w:w="597"/>
        <w:gridCol w:w="597"/>
        <w:gridCol w:w="597"/>
        <w:gridCol w:w="597"/>
        <w:gridCol w:w="595"/>
        <w:gridCol w:w="595"/>
      </w:tblGrid>
      <w:tr w:rsidR="00565294" w:rsidRPr="00D01C6F" w14:paraId="39DA1E0F" w14:textId="77777777" w:rsidTr="005047AD">
        <w:trPr>
          <w:trHeight w:val="600"/>
          <w:jc w:val="center"/>
        </w:trPr>
        <w:tc>
          <w:tcPr>
            <w:tcW w:w="885" w:type="pct"/>
            <w:shd w:val="clear" w:color="auto" w:fill="auto"/>
            <w:vAlign w:val="center"/>
          </w:tcPr>
          <w:p w14:paraId="07C54820" w14:textId="77777777" w:rsidR="00565294" w:rsidRPr="00FB0069" w:rsidRDefault="00565294" w:rsidP="005047AD">
            <w:pPr>
              <w:spacing w:line="300" w:lineRule="exact"/>
              <w:ind w:leftChars="-20" w:left="-42" w:rightChars="-20" w:right="-42"/>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设区市</w:t>
            </w:r>
          </w:p>
        </w:tc>
        <w:tc>
          <w:tcPr>
            <w:tcW w:w="376" w:type="pct"/>
            <w:shd w:val="clear" w:color="auto" w:fill="auto"/>
            <w:vAlign w:val="center"/>
          </w:tcPr>
          <w:p w14:paraId="366CA4C7" w14:textId="77777777" w:rsidR="00565294" w:rsidRPr="00FB0069" w:rsidRDefault="00565294" w:rsidP="005047AD">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杭州</w:t>
            </w:r>
          </w:p>
        </w:tc>
        <w:tc>
          <w:tcPr>
            <w:tcW w:w="340" w:type="pct"/>
            <w:shd w:val="clear" w:color="auto" w:fill="auto"/>
            <w:vAlign w:val="center"/>
          </w:tcPr>
          <w:p w14:paraId="00FA4621" w14:textId="77777777" w:rsidR="00565294" w:rsidRPr="00FB0069" w:rsidRDefault="00565294" w:rsidP="005047AD">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宁波</w:t>
            </w:r>
          </w:p>
        </w:tc>
        <w:tc>
          <w:tcPr>
            <w:tcW w:w="340" w:type="pct"/>
            <w:shd w:val="clear" w:color="auto" w:fill="auto"/>
            <w:vAlign w:val="center"/>
          </w:tcPr>
          <w:p w14:paraId="1C611FAE" w14:textId="77777777" w:rsidR="00565294" w:rsidRPr="00FB0069" w:rsidRDefault="00565294" w:rsidP="005047AD">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温州</w:t>
            </w:r>
          </w:p>
        </w:tc>
        <w:tc>
          <w:tcPr>
            <w:tcW w:w="340" w:type="pct"/>
            <w:shd w:val="clear" w:color="auto" w:fill="auto"/>
            <w:vAlign w:val="center"/>
          </w:tcPr>
          <w:p w14:paraId="550918D3" w14:textId="77777777" w:rsidR="00565294" w:rsidRPr="00FB0069" w:rsidRDefault="00565294" w:rsidP="005047AD">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hint="eastAsia"/>
                <w:bCs/>
                <w:kern w:val="44"/>
                <w:sz w:val="22"/>
                <w:szCs w:val="21"/>
              </w:rPr>
              <w:t>湖州</w:t>
            </w:r>
          </w:p>
        </w:tc>
        <w:tc>
          <w:tcPr>
            <w:tcW w:w="340" w:type="pct"/>
            <w:shd w:val="clear" w:color="auto" w:fill="auto"/>
            <w:vAlign w:val="center"/>
          </w:tcPr>
          <w:p w14:paraId="590A27FC" w14:textId="77777777" w:rsidR="00565294" w:rsidRPr="00FB0069" w:rsidRDefault="00565294" w:rsidP="005047AD">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hint="eastAsia"/>
                <w:bCs/>
                <w:kern w:val="44"/>
                <w:sz w:val="22"/>
                <w:szCs w:val="21"/>
              </w:rPr>
              <w:t>嘉兴</w:t>
            </w:r>
          </w:p>
        </w:tc>
        <w:tc>
          <w:tcPr>
            <w:tcW w:w="340" w:type="pct"/>
            <w:shd w:val="clear" w:color="auto" w:fill="auto"/>
            <w:vAlign w:val="center"/>
          </w:tcPr>
          <w:p w14:paraId="75ACE215" w14:textId="77777777" w:rsidR="00565294" w:rsidRPr="00FB0069" w:rsidRDefault="00565294" w:rsidP="005047AD">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绍兴</w:t>
            </w:r>
          </w:p>
        </w:tc>
        <w:tc>
          <w:tcPr>
            <w:tcW w:w="340" w:type="pct"/>
            <w:shd w:val="clear" w:color="auto" w:fill="auto"/>
            <w:vAlign w:val="center"/>
          </w:tcPr>
          <w:p w14:paraId="046A4348" w14:textId="77777777" w:rsidR="00565294" w:rsidRPr="00FB0069" w:rsidRDefault="00565294" w:rsidP="005047AD">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金华</w:t>
            </w:r>
          </w:p>
        </w:tc>
        <w:tc>
          <w:tcPr>
            <w:tcW w:w="340" w:type="pct"/>
            <w:shd w:val="clear" w:color="auto" w:fill="auto"/>
            <w:vAlign w:val="center"/>
          </w:tcPr>
          <w:p w14:paraId="7BA3DA2C" w14:textId="77777777" w:rsidR="00565294" w:rsidRPr="00FB0069" w:rsidRDefault="00565294" w:rsidP="005047AD">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衢州</w:t>
            </w:r>
          </w:p>
        </w:tc>
        <w:tc>
          <w:tcPr>
            <w:tcW w:w="340" w:type="pct"/>
            <w:shd w:val="clear" w:color="auto" w:fill="auto"/>
            <w:vAlign w:val="center"/>
          </w:tcPr>
          <w:p w14:paraId="57F5D2F4" w14:textId="77777777" w:rsidR="00565294" w:rsidRPr="00FB0069" w:rsidRDefault="00565294" w:rsidP="005047AD">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舟山</w:t>
            </w:r>
          </w:p>
        </w:tc>
        <w:tc>
          <w:tcPr>
            <w:tcW w:w="340" w:type="pct"/>
            <w:shd w:val="clear" w:color="auto" w:fill="auto"/>
            <w:vAlign w:val="center"/>
          </w:tcPr>
          <w:p w14:paraId="0CAAB5FB" w14:textId="77777777" w:rsidR="00565294" w:rsidRPr="00FB0069" w:rsidRDefault="00565294" w:rsidP="005047AD">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台州</w:t>
            </w:r>
          </w:p>
        </w:tc>
        <w:tc>
          <w:tcPr>
            <w:tcW w:w="339" w:type="pct"/>
            <w:shd w:val="clear" w:color="auto" w:fill="auto"/>
            <w:vAlign w:val="center"/>
          </w:tcPr>
          <w:p w14:paraId="0C1421C6" w14:textId="77777777" w:rsidR="00565294" w:rsidRPr="00FB0069" w:rsidRDefault="00565294" w:rsidP="005047AD">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丽水</w:t>
            </w:r>
          </w:p>
        </w:tc>
        <w:tc>
          <w:tcPr>
            <w:tcW w:w="339" w:type="pct"/>
            <w:vAlign w:val="center"/>
          </w:tcPr>
          <w:p w14:paraId="7B605642" w14:textId="77777777" w:rsidR="00565294" w:rsidRPr="00DC4B64" w:rsidRDefault="00565294" w:rsidP="005047AD">
            <w:pPr>
              <w:spacing w:line="300" w:lineRule="exact"/>
              <w:ind w:leftChars="-50" w:left="-105" w:rightChars="-50" w:right="-105"/>
              <w:jc w:val="center"/>
              <w:rPr>
                <w:rFonts w:ascii="Times New Roman" w:eastAsia="仿宋_GB2312" w:hAnsi="Times New Roman" w:cs="Times New Roman"/>
                <w:bCs/>
                <w:kern w:val="44"/>
                <w:sz w:val="22"/>
                <w:szCs w:val="21"/>
              </w:rPr>
            </w:pPr>
            <w:r w:rsidRPr="00DC4B64">
              <w:rPr>
                <w:rFonts w:ascii="Times New Roman" w:eastAsia="仿宋_GB2312" w:hAnsi="Times New Roman" w:cs="Times New Roman"/>
                <w:bCs/>
                <w:kern w:val="44"/>
                <w:sz w:val="22"/>
                <w:szCs w:val="21"/>
              </w:rPr>
              <w:t>全省</w:t>
            </w:r>
          </w:p>
        </w:tc>
      </w:tr>
      <w:tr w:rsidR="00565294" w:rsidRPr="00D01C6F" w14:paraId="78D8FCDB" w14:textId="77777777" w:rsidTr="005047AD">
        <w:trPr>
          <w:trHeight w:val="600"/>
          <w:jc w:val="center"/>
        </w:trPr>
        <w:tc>
          <w:tcPr>
            <w:tcW w:w="885" w:type="pct"/>
            <w:shd w:val="clear" w:color="auto" w:fill="auto"/>
            <w:vAlign w:val="center"/>
          </w:tcPr>
          <w:p w14:paraId="7FBFF77E" w14:textId="77777777" w:rsidR="00565294" w:rsidRPr="00FB0069" w:rsidRDefault="00565294" w:rsidP="005047AD">
            <w:pPr>
              <w:spacing w:line="300" w:lineRule="exact"/>
              <w:ind w:leftChars="-20" w:left="-42" w:rightChars="-20" w:right="-42"/>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超标</w:t>
            </w:r>
            <w:r w:rsidRPr="00FB0069">
              <w:rPr>
                <w:rFonts w:ascii="Times New Roman" w:eastAsia="仿宋_GB2312" w:hAnsi="Times New Roman" w:cs="Times New Roman" w:hint="eastAsia"/>
                <w:bCs/>
                <w:kern w:val="44"/>
                <w:sz w:val="22"/>
                <w:szCs w:val="21"/>
              </w:rPr>
              <w:t>企业</w:t>
            </w:r>
            <w:r w:rsidRPr="00FB0069">
              <w:rPr>
                <w:rFonts w:ascii="Times New Roman" w:eastAsia="仿宋_GB2312" w:hAnsi="Times New Roman" w:cs="Times New Roman"/>
                <w:bCs/>
                <w:kern w:val="44"/>
                <w:sz w:val="22"/>
                <w:szCs w:val="21"/>
              </w:rPr>
              <w:t>数（家）</w:t>
            </w:r>
          </w:p>
        </w:tc>
        <w:tc>
          <w:tcPr>
            <w:tcW w:w="376" w:type="pct"/>
            <w:shd w:val="clear" w:color="auto" w:fill="auto"/>
            <w:vAlign w:val="center"/>
          </w:tcPr>
          <w:p w14:paraId="02869902"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sidRPr="0095112E">
              <w:rPr>
                <w:rFonts w:ascii="Times New Roman" w:eastAsia="等线" w:hAnsi="Times New Roman" w:cs="Times New Roman"/>
                <w:color w:val="000000"/>
                <w:sz w:val="24"/>
                <w:szCs w:val="24"/>
              </w:rPr>
              <w:t>3</w:t>
            </w:r>
          </w:p>
        </w:tc>
        <w:tc>
          <w:tcPr>
            <w:tcW w:w="340" w:type="pct"/>
            <w:shd w:val="clear" w:color="auto" w:fill="auto"/>
            <w:vAlign w:val="center"/>
          </w:tcPr>
          <w:p w14:paraId="00A89B80" w14:textId="58CE006C" w:rsidR="00565294" w:rsidRPr="0095112E" w:rsidRDefault="008F2F85" w:rsidP="005047AD">
            <w:pPr>
              <w:ind w:leftChars="-50" w:left="-105" w:rightChars="-50" w:right="-105"/>
              <w:jc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0</w:t>
            </w:r>
          </w:p>
        </w:tc>
        <w:tc>
          <w:tcPr>
            <w:tcW w:w="340" w:type="pct"/>
            <w:shd w:val="clear" w:color="auto" w:fill="auto"/>
            <w:vAlign w:val="center"/>
          </w:tcPr>
          <w:p w14:paraId="5F6232B3"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sidRPr="0095112E">
              <w:rPr>
                <w:rFonts w:ascii="Times New Roman" w:eastAsia="等线" w:hAnsi="Times New Roman" w:cs="Times New Roman"/>
                <w:color w:val="000000"/>
                <w:sz w:val="24"/>
                <w:szCs w:val="24"/>
              </w:rPr>
              <w:t>2</w:t>
            </w:r>
          </w:p>
        </w:tc>
        <w:tc>
          <w:tcPr>
            <w:tcW w:w="340" w:type="pct"/>
            <w:shd w:val="clear" w:color="auto" w:fill="auto"/>
            <w:vAlign w:val="center"/>
          </w:tcPr>
          <w:p w14:paraId="553FEC84"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1</w:t>
            </w:r>
          </w:p>
        </w:tc>
        <w:tc>
          <w:tcPr>
            <w:tcW w:w="340" w:type="pct"/>
            <w:shd w:val="clear" w:color="auto" w:fill="auto"/>
            <w:vAlign w:val="center"/>
          </w:tcPr>
          <w:p w14:paraId="1061557A"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2</w:t>
            </w:r>
          </w:p>
        </w:tc>
        <w:tc>
          <w:tcPr>
            <w:tcW w:w="340" w:type="pct"/>
            <w:shd w:val="clear" w:color="auto" w:fill="auto"/>
            <w:vAlign w:val="center"/>
          </w:tcPr>
          <w:p w14:paraId="0118F4C7"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sidRPr="0095112E">
              <w:rPr>
                <w:rFonts w:ascii="Times New Roman" w:eastAsia="等线" w:hAnsi="Times New Roman" w:cs="Times New Roman"/>
                <w:color w:val="000000"/>
                <w:sz w:val="24"/>
                <w:szCs w:val="24"/>
              </w:rPr>
              <w:t>4</w:t>
            </w:r>
          </w:p>
        </w:tc>
        <w:tc>
          <w:tcPr>
            <w:tcW w:w="340" w:type="pct"/>
            <w:shd w:val="clear" w:color="auto" w:fill="auto"/>
            <w:vAlign w:val="center"/>
          </w:tcPr>
          <w:p w14:paraId="35732666" w14:textId="16868628" w:rsidR="00565294" w:rsidRPr="0095112E" w:rsidRDefault="008F2F85" w:rsidP="005047AD">
            <w:pPr>
              <w:ind w:leftChars="-50" w:left="-105" w:rightChars="-50" w:right="-105"/>
              <w:jc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0</w:t>
            </w:r>
          </w:p>
        </w:tc>
        <w:tc>
          <w:tcPr>
            <w:tcW w:w="340" w:type="pct"/>
            <w:shd w:val="clear" w:color="auto" w:fill="auto"/>
            <w:vAlign w:val="center"/>
          </w:tcPr>
          <w:p w14:paraId="1D94E210"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sidRPr="0095112E">
              <w:rPr>
                <w:rFonts w:ascii="Times New Roman" w:eastAsia="等线" w:hAnsi="Times New Roman" w:cs="Times New Roman"/>
                <w:color w:val="000000"/>
                <w:sz w:val="24"/>
                <w:szCs w:val="24"/>
              </w:rPr>
              <w:t>2</w:t>
            </w:r>
          </w:p>
        </w:tc>
        <w:tc>
          <w:tcPr>
            <w:tcW w:w="340" w:type="pct"/>
            <w:shd w:val="clear" w:color="auto" w:fill="auto"/>
            <w:vAlign w:val="center"/>
          </w:tcPr>
          <w:p w14:paraId="73B137EE" w14:textId="04E8696F" w:rsidR="00565294" w:rsidRPr="0095112E" w:rsidRDefault="008F2F85" w:rsidP="005047AD">
            <w:pPr>
              <w:ind w:leftChars="-50" w:left="-105" w:rightChars="-50" w:right="-105"/>
              <w:jc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0</w:t>
            </w:r>
          </w:p>
        </w:tc>
        <w:tc>
          <w:tcPr>
            <w:tcW w:w="340" w:type="pct"/>
            <w:shd w:val="clear" w:color="auto" w:fill="auto"/>
            <w:vAlign w:val="center"/>
          </w:tcPr>
          <w:p w14:paraId="70BBA789"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sidRPr="0095112E">
              <w:rPr>
                <w:rFonts w:ascii="Times New Roman" w:eastAsia="等线" w:hAnsi="Times New Roman" w:cs="Times New Roman"/>
                <w:color w:val="000000"/>
                <w:sz w:val="24"/>
                <w:szCs w:val="24"/>
              </w:rPr>
              <w:t>7</w:t>
            </w:r>
          </w:p>
        </w:tc>
        <w:tc>
          <w:tcPr>
            <w:tcW w:w="339" w:type="pct"/>
            <w:shd w:val="clear" w:color="auto" w:fill="auto"/>
            <w:vAlign w:val="center"/>
          </w:tcPr>
          <w:p w14:paraId="6A171932" w14:textId="34DCA610" w:rsidR="00565294" w:rsidRPr="0095112E" w:rsidRDefault="008F2F85" w:rsidP="005047AD">
            <w:pPr>
              <w:ind w:leftChars="-50" w:left="-105" w:rightChars="-50" w:right="-105"/>
              <w:jc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0</w:t>
            </w:r>
          </w:p>
        </w:tc>
        <w:tc>
          <w:tcPr>
            <w:tcW w:w="339" w:type="pct"/>
            <w:vAlign w:val="center"/>
          </w:tcPr>
          <w:p w14:paraId="132E78B2"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sidRPr="0095112E">
              <w:rPr>
                <w:rFonts w:ascii="Times New Roman" w:eastAsia="等线" w:hAnsi="Times New Roman" w:cs="Times New Roman"/>
                <w:color w:val="000000"/>
                <w:sz w:val="24"/>
                <w:szCs w:val="24"/>
              </w:rPr>
              <w:t>2</w:t>
            </w:r>
            <w:r>
              <w:rPr>
                <w:rFonts w:ascii="Times New Roman" w:eastAsia="等线" w:hAnsi="Times New Roman" w:cs="Times New Roman"/>
                <w:color w:val="000000"/>
                <w:sz w:val="24"/>
                <w:szCs w:val="24"/>
              </w:rPr>
              <w:t>1</w:t>
            </w:r>
          </w:p>
        </w:tc>
      </w:tr>
      <w:tr w:rsidR="00565294" w:rsidRPr="00D01C6F" w14:paraId="2390E055" w14:textId="77777777" w:rsidTr="005047AD">
        <w:trPr>
          <w:trHeight w:val="600"/>
          <w:jc w:val="center"/>
        </w:trPr>
        <w:tc>
          <w:tcPr>
            <w:tcW w:w="885" w:type="pct"/>
            <w:shd w:val="clear" w:color="auto" w:fill="auto"/>
            <w:vAlign w:val="center"/>
          </w:tcPr>
          <w:p w14:paraId="3769669A" w14:textId="77777777" w:rsidR="00565294" w:rsidRPr="00FB0069" w:rsidRDefault="00565294" w:rsidP="005047AD">
            <w:pPr>
              <w:spacing w:line="300" w:lineRule="exact"/>
              <w:ind w:leftChars="-20" w:left="-42" w:rightChars="-20" w:right="-42"/>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超标企业占比（</w:t>
            </w:r>
            <w:r w:rsidRPr="00FB0069">
              <w:rPr>
                <w:rFonts w:ascii="Times New Roman" w:eastAsia="仿宋_GB2312" w:hAnsi="Times New Roman" w:cs="Times New Roman"/>
                <w:bCs/>
                <w:kern w:val="44"/>
                <w:sz w:val="22"/>
                <w:szCs w:val="21"/>
              </w:rPr>
              <w:t>%</w:t>
            </w:r>
            <w:r w:rsidRPr="00FB0069">
              <w:rPr>
                <w:rFonts w:ascii="Times New Roman" w:eastAsia="仿宋_GB2312" w:hAnsi="Times New Roman" w:cs="Times New Roman"/>
                <w:bCs/>
                <w:kern w:val="44"/>
                <w:sz w:val="22"/>
                <w:szCs w:val="21"/>
              </w:rPr>
              <w:t>）</w:t>
            </w:r>
          </w:p>
        </w:tc>
        <w:tc>
          <w:tcPr>
            <w:tcW w:w="376" w:type="pct"/>
            <w:shd w:val="clear" w:color="auto" w:fill="auto"/>
            <w:vAlign w:val="center"/>
          </w:tcPr>
          <w:p w14:paraId="61920453"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sidRPr="0095112E">
              <w:rPr>
                <w:rFonts w:ascii="Times New Roman" w:eastAsia="等线" w:hAnsi="Times New Roman" w:cs="Times New Roman"/>
                <w:color w:val="000000"/>
                <w:sz w:val="24"/>
                <w:szCs w:val="24"/>
              </w:rPr>
              <w:t>1</w:t>
            </w:r>
            <w:r>
              <w:rPr>
                <w:rFonts w:ascii="Times New Roman" w:eastAsia="等线" w:hAnsi="Times New Roman" w:cs="Times New Roman"/>
                <w:color w:val="000000"/>
                <w:sz w:val="24"/>
                <w:szCs w:val="24"/>
              </w:rPr>
              <w:t>4.3</w:t>
            </w:r>
          </w:p>
        </w:tc>
        <w:tc>
          <w:tcPr>
            <w:tcW w:w="340" w:type="pct"/>
            <w:shd w:val="clear" w:color="auto" w:fill="auto"/>
            <w:vAlign w:val="center"/>
          </w:tcPr>
          <w:p w14:paraId="39BCD0F3"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sidRPr="0095112E">
              <w:rPr>
                <w:rFonts w:ascii="Times New Roman" w:eastAsia="等线" w:hAnsi="Times New Roman" w:cs="Times New Roman"/>
                <w:color w:val="000000"/>
                <w:sz w:val="24"/>
                <w:szCs w:val="24"/>
              </w:rPr>
              <w:t>/</w:t>
            </w:r>
          </w:p>
        </w:tc>
        <w:tc>
          <w:tcPr>
            <w:tcW w:w="340" w:type="pct"/>
            <w:shd w:val="clear" w:color="auto" w:fill="auto"/>
            <w:vAlign w:val="center"/>
          </w:tcPr>
          <w:p w14:paraId="1BA8CA3A"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9.5</w:t>
            </w:r>
          </w:p>
        </w:tc>
        <w:tc>
          <w:tcPr>
            <w:tcW w:w="340" w:type="pct"/>
            <w:shd w:val="clear" w:color="auto" w:fill="auto"/>
            <w:vAlign w:val="center"/>
          </w:tcPr>
          <w:p w14:paraId="3562E5A4"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4.8</w:t>
            </w:r>
          </w:p>
        </w:tc>
        <w:tc>
          <w:tcPr>
            <w:tcW w:w="340" w:type="pct"/>
            <w:shd w:val="clear" w:color="auto" w:fill="auto"/>
            <w:vAlign w:val="center"/>
          </w:tcPr>
          <w:p w14:paraId="2E10A4DD"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9.5</w:t>
            </w:r>
          </w:p>
        </w:tc>
        <w:tc>
          <w:tcPr>
            <w:tcW w:w="340" w:type="pct"/>
            <w:shd w:val="clear" w:color="auto" w:fill="auto"/>
            <w:vAlign w:val="center"/>
          </w:tcPr>
          <w:p w14:paraId="4F91756C"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19.0</w:t>
            </w:r>
          </w:p>
        </w:tc>
        <w:tc>
          <w:tcPr>
            <w:tcW w:w="340" w:type="pct"/>
            <w:shd w:val="clear" w:color="auto" w:fill="auto"/>
            <w:vAlign w:val="center"/>
          </w:tcPr>
          <w:p w14:paraId="1A52807C"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sidRPr="0095112E">
              <w:rPr>
                <w:rFonts w:ascii="Times New Roman" w:eastAsia="等线" w:hAnsi="Times New Roman" w:cs="Times New Roman"/>
                <w:color w:val="000000"/>
                <w:sz w:val="24"/>
                <w:szCs w:val="24"/>
              </w:rPr>
              <w:t>/</w:t>
            </w:r>
          </w:p>
        </w:tc>
        <w:tc>
          <w:tcPr>
            <w:tcW w:w="340" w:type="pct"/>
            <w:shd w:val="clear" w:color="auto" w:fill="auto"/>
            <w:vAlign w:val="center"/>
          </w:tcPr>
          <w:p w14:paraId="6A17DD20"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9.5</w:t>
            </w:r>
          </w:p>
        </w:tc>
        <w:tc>
          <w:tcPr>
            <w:tcW w:w="340" w:type="pct"/>
            <w:shd w:val="clear" w:color="auto" w:fill="auto"/>
            <w:vAlign w:val="center"/>
          </w:tcPr>
          <w:p w14:paraId="308B0ACA"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sidRPr="0095112E">
              <w:rPr>
                <w:rFonts w:ascii="Times New Roman" w:eastAsia="等线" w:hAnsi="Times New Roman" w:cs="Times New Roman"/>
                <w:color w:val="000000"/>
                <w:sz w:val="24"/>
                <w:szCs w:val="24"/>
              </w:rPr>
              <w:t>/</w:t>
            </w:r>
          </w:p>
        </w:tc>
        <w:tc>
          <w:tcPr>
            <w:tcW w:w="340" w:type="pct"/>
            <w:shd w:val="clear" w:color="auto" w:fill="auto"/>
            <w:vAlign w:val="center"/>
          </w:tcPr>
          <w:p w14:paraId="6129AC04"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33.3</w:t>
            </w:r>
          </w:p>
        </w:tc>
        <w:tc>
          <w:tcPr>
            <w:tcW w:w="339" w:type="pct"/>
            <w:shd w:val="clear" w:color="auto" w:fill="auto"/>
            <w:vAlign w:val="center"/>
          </w:tcPr>
          <w:p w14:paraId="16B8FDFB"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sidRPr="0095112E">
              <w:rPr>
                <w:rFonts w:ascii="Times New Roman" w:eastAsia="等线" w:hAnsi="Times New Roman" w:cs="Times New Roman"/>
                <w:color w:val="000000"/>
                <w:sz w:val="24"/>
                <w:szCs w:val="24"/>
              </w:rPr>
              <w:t>/</w:t>
            </w:r>
          </w:p>
        </w:tc>
        <w:tc>
          <w:tcPr>
            <w:tcW w:w="339" w:type="pct"/>
            <w:vAlign w:val="center"/>
          </w:tcPr>
          <w:p w14:paraId="51F44892" w14:textId="77777777" w:rsidR="00565294" w:rsidRPr="0095112E" w:rsidRDefault="00565294" w:rsidP="005047AD">
            <w:pPr>
              <w:ind w:leftChars="-50" w:left="-105" w:rightChars="-50" w:right="-105"/>
              <w:jc w:val="center"/>
              <w:rPr>
                <w:rFonts w:ascii="Times New Roman" w:eastAsia="等线" w:hAnsi="Times New Roman" w:cs="Times New Roman"/>
                <w:color w:val="000000"/>
                <w:sz w:val="24"/>
                <w:szCs w:val="24"/>
              </w:rPr>
            </w:pPr>
            <w:r w:rsidRPr="0095112E">
              <w:rPr>
                <w:rFonts w:ascii="Times New Roman" w:eastAsia="等线" w:hAnsi="Times New Roman" w:cs="Times New Roman"/>
                <w:color w:val="000000"/>
                <w:sz w:val="24"/>
                <w:szCs w:val="24"/>
              </w:rPr>
              <w:t>/</w:t>
            </w:r>
          </w:p>
        </w:tc>
      </w:tr>
    </w:tbl>
    <w:p w14:paraId="619095D6" w14:textId="32C40C50" w:rsidR="003A1EB1" w:rsidRDefault="003A1EB1" w:rsidP="00565294">
      <w:pPr>
        <w:jc w:val="center"/>
        <w:rPr>
          <w:rFonts w:ascii="Times New Roman" w:eastAsia="仿宋_GB2312" w:hAnsi="Times New Roman" w:cs="Times New Roman"/>
          <w:b/>
          <w:bCs/>
          <w:kern w:val="44"/>
          <w:sz w:val="24"/>
          <w:szCs w:val="24"/>
        </w:rPr>
      </w:pPr>
    </w:p>
    <w:p w14:paraId="3F9BBC40" w14:textId="1D14FFC1" w:rsidR="00565294" w:rsidRPr="000074EE" w:rsidRDefault="00487C27" w:rsidP="00565294">
      <w:pPr>
        <w:jc w:val="center"/>
        <w:rPr>
          <w:rFonts w:ascii="Times New Roman" w:eastAsia="仿宋_GB2312" w:hAnsi="Times New Roman" w:cs="Times New Roman"/>
          <w:b/>
          <w:bCs/>
          <w:kern w:val="44"/>
          <w:sz w:val="24"/>
          <w:szCs w:val="24"/>
        </w:rPr>
      </w:pPr>
      <w:r>
        <w:rPr>
          <w:noProof/>
        </w:rPr>
        <w:drawing>
          <wp:anchor distT="0" distB="0" distL="114300" distR="114300" simplePos="0" relativeHeight="251711488" behindDoc="0" locked="0" layoutInCell="1" allowOverlap="1" wp14:anchorId="2C1E5CC9" wp14:editId="3C3135AB">
            <wp:simplePos x="0" y="0"/>
            <wp:positionH relativeFrom="margin">
              <wp:posOffset>-447675</wp:posOffset>
            </wp:positionH>
            <wp:positionV relativeFrom="paragraph">
              <wp:posOffset>420370</wp:posOffset>
            </wp:positionV>
            <wp:extent cx="5334000" cy="2771775"/>
            <wp:effectExtent l="0" t="0" r="0" b="0"/>
            <wp:wrapTopAndBottom/>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565294" w:rsidRPr="00E95B6F">
        <w:rPr>
          <w:rFonts w:ascii="Times New Roman" w:eastAsia="仿宋_GB2312" w:hAnsi="Times New Roman" w:cs="Times New Roman"/>
          <w:b/>
          <w:bCs/>
          <w:kern w:val="44"/>
          <w:sz w:val="24"/>
          <w:szCs w:val="24"/>
        </w:rPr>
        <w:t>图</w:t>
      </w:r>
      <w:r w:rsidR="00565294">
        <w:rPr>
          <w:rFonts w:ascii="Times New Roman" w:eastAsia="仿宋_GB2312" w:hAnsi="Times New Roman" w:cs="Times New Roman"/>
          <w:b/>
          <w:bCs/>
          <w:kern w:val="44"/>
          <w:sz w:val="24"/>
          <w:szCs w:val="24"/>
        </w:rPr>
        <w:t>4</w:t>
      </w:r>
      <w:r w:rsidR="00565294" w:rsidRPr="00E95B6F">
        <w:rPr>
          <w:rFonts w:ascii="Times New Roman" w:eastAsia="仿宋_GB2312" w:hAnsi="Times New Roman" w:cs="Times New Roman"/>
          <w:b/>
          <w:bCs/>
          <w:kern w:val="44"/>
          <w:sz w:val="24"/>
          <w:szCs w:val="24"/>
        </w:rPr>
        <w:t xml:space="preserve">  </w:t>
      </w:r>
      <w:r w:rsidR="00565294">
        <w:rPr>
          <w:rFonts w:ascii="Times New Roman" w:eastAsia="仿宋_GB2312" w:hAnsi="Times New Roman" w:cs="Times New Roman"/>
          <w:b/>
          <w:bCs/>
          <w:kern w:val="44"/>
          <w:sz w:val="24"/>
          <w:szCs w:val="24"/>
        </w:rPr>
        <w:t xml:space="preserve">  </w:t>
      </w:r>
      <w:r w:rsidR="00565294">
        <w:rPr>
          <w:rFonts w:ascii="Times New Roman" w:eastAsia="仿宋_GB2312" w:hAnsi="Times New Roman" w:cs="Times New Roman" w:hint="eastAsia"/>
          <w:b/>
          <w:bCs/>
          <w:kern w:val="44"/>
          <w:sz w:val="24"/>
          <w:szCs w:val="24"/>
        </w:rPr>
        <w:t>废水排污单位分</w:t>
      </w:r>
      <w:r w:rsidR="00565294" w:rsidRPr="00E95B6F">
        <w:rPr>
          <w:rFonts w:ascii="Times New Roman" w:eastAsia="仿宋_GB2312" w:hAnsi="Times New Roman" w:cs="Times New Roman"/>
          <w:b/>
          <w:bCs/>
          <w:kern w:val="44"/>
          <w:sz w:val="24"/>
          <w:szCs w:val="24"/>
        </w:rPr>
        <w:t>行业超标</w:t>
      </w:r>
      <w:r w:rsidR="00565294">
        <w:rPr>
          <w:rFonts w:ascii="Times New Roman" w:eastAsia="仿宋_GB2312" w:hAnsi="Times New Roman" w:cs="Times New Roman" w:hint="eastAsia"/>
          <w:b/>
          <w:bCs/>
          <w:kern w:val="44"/>
          <w:sz w:val="24"/>
          <w:szCs w:val="24"/>
        </w:rPr>
        <w:t>情况</w:t>
      </w:r>
    </w:p>
    <w:p w14:paraId="5491CB1A" w14:textId="68160EF6" w:rsidR="00565294" w:rsidRPr="00E95B6F" w:rsidRDefault="00565294" w:rsidP="00565294">
      <w:pPr>
        <w:spacing w:line="400" w:lineRule="exact"/>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Pr>
          <w:rFonts w:ascii="Times New Roman" w:eastAsia="仿宋_GB2312" w:hAnsi="Times New Roman" w:cs="Times New Roman"/>
          <w:b/>
          <w:bCs/>
          <w:kern w:val="44"/>
          <w:sz w:val="24"/>
          <w:szCs w:val="24"/>
        </w:rPr>
        <w:t>5</w:t>
      </w:r>
      <w:r w:rsidRPr="00E95B6F">
        <w:rPr>
          <w:rFonts w:ascii="Times New Roman" w:eastAsia="仿宋_GB2312" w:hAnsi="Times New Roman" w:cs="Times New Roman"/>
          <w:b/>
          <w:bCs/>
          <w:kern w:val="44"/>
          <w:sz w:val="24"/>
          <w:szCs w:val="24"/>
        </w:rPr>
        <w:t xml:space="preserve">  </w:t>
      </w:r>
      <w:r>
        <w:rPr>
          <w:rFonts w:ascii="Times New Roman" w:eastAsia="仿宋_GB2312" w:hAnsi="Times New Roman" w:cs="Times New Roman"/>
          <w:b/>
          <w:bCs/>
          <w:kern w:val="44"/>
          <w:sz w:val="24"/>
          <w:szCs w:val="24"/>
        </w:rPr>
        <w:t xml:space="preserve">  </w:t>
      </w:r>
      <w:r>
        <w:rPr>
          <w:rFonts w:ascii="Times New Roman" w:eastAsia="仿宋_GB2312" w:hAnsi="Times New Roman" w:cs="Times New Roman" w:hint="eastAsia"/>
          <w:b/>
          <w:bCs/>
          <w:kern w:val="44"/>
          <w:sz w:val="24"/>
          <w:szCs w:val="24"/>
        </w:rPr>
        <w:t>废水排污单位分指标超标情况</w:t>
      </w:r>
    </w:p>
    <w:p w14:paraId="782974D7" w14:textId="77777777" w:rsidR="00565294" w:rsidRPr="00317502" w:rsidRDefault="00565294" w:rsidP="00565294">
      <w:pPr>
        <w:spacing w:beforeLines="20" w:before="62" w:afterLines="20" w:after="62" w:line="560" w:lineRule="exact"/>
        <w:ind w:firstLineChars="200" w:firstLine="562"/>
        <w:outlineLvl w:val="1"/>
        <w:rPr>
          <w:rFonts w:ascii="仿宋" w:eastAsia="仿宋" w:hAnsi="仿宋" w:cs="Times New Roman"/>
          <w:b/>
          <w:bCs/>
          <w:kern w:val="44"/>
          <w:sz w:val="28"/>
          <w:szCs w:val="28"/>
        </w:rPr>
      </w:pPr>
      <w:bookmarkStart w:id="5" w:name="_Toc126401595"/>
      <w:r w:rsidRPr="00317502">
        <w:rPr>
          <w:rFonts w:ascii="仿宋" w:eastAsia="仿宋" w:hAnsi="仿宋" w:cs="Times New Roman" w:hint="eastAsia"/>
          <w:b/>
          <w:bCs/>
          <w:kern w:val="44"/>
          <w:sz w:val="28"/>
          <w:szCs w:val="28"/>
        </w:rPr>
        <w:lastRenderedPageBreak/>
        <w:t>（二）</w:t>
      </w:r>
      <w:r w:rsidRPr="00317502">
        <w:rPr>
          <w:rFonts w:ascii="仿宋" w:eastAsia="仿宋" w:hAnsi="仿宋" w:cs="Times New Roman"/>
          <w:b/>
          <w:bCs/>
          <w:kern w:val="44"/>
          <w:sz w:val="28"/>
          <w:szCs w:val="28"/>
        </w:rPr>
        <w:t>集中式污水处理厂</w:t>
      </w:r>
      <w:bookmarkEnd w:id="5"/>
    </w:p>
    <w:p w14:paraId="6974587C" w14:textId="77777777" w:rsidR="00565294" w:rsidRPr="00E95B6F" w:rsidRDefault="00565294" w:rsidP="00565294">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1</w:t>
      </w:r>
      <w:r w:rsidRPr="00F70D6C">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监测情况</w:t>
      </w:r>
    </w:p>
    <w:p w14:paraId="2F737AF8" w14:textId="77777777" w:rsidR="00565294" w:rsidRPr="00E95B6F" w:rsidRDefault="00565294" w:rsidP="00565294">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全省共监测集中式污水处理厂</w:t>
      </w:r>
      <w:r>
        <w:rPr>
          <w:rFonts w:ascii="Times New Roman" w:eastAsia="仿宋_GB2312" w:hAnsi="Times New Roman" w:cs="Times New Roman"/>
          <w:bCs/>
          <w:kern w:val="44"/>
          <w:sz w:val="28"/>
          <w:szCs w:val="28"/>
        </w:rPr>
        <w:t>386</w:t>
      </w:r>
      <w:r w:rsidRPr="00E95B6F">
        <w:rPr>
          <w:rFonts w:ascii="Times New Roman" w:eastAsia="仿宋_GB2312" w:hAnsi="Times New Roman" w:cs="Times New Roman"/>
          <w:bCs/>
          <w:kern w:val="44"/>
          <w:sz w:val="28"/>
          <w:szCs w:val="28"/>
        </w:rPr>
        <w:t>家（以下简称污水处理厂）。</w:t>
      </w:r>
      <w:r>
        <w:rPr>
          <w:rFonts w:ascii="Times New Roman" w:eastAsia="仿宋_GB2312" w:hAnsi="Times New Roman" w:cs="Times New Roman" w:hint="eastAsia"/>
          <w:bCs/>
          <w:kern w:val="44"/>
          <w:sz w:val="28"/>
          <w:szCs w:val="28"/>
        </w:rPr>
        <w:t>实际</w:t>
      </w:r>
      <w:r w:rsidRPr="00E95B6F">
        <w:rPr>
          <w:rFonts w:ascii="Times New Roman" w:eastAsia="仿宋_GB2312" w:hAnsi="Times New Roman" w:cs="Times New Roman"/>
          <w:bCs/>
          <w:kern w:val="44"/>
          <w:sz w:val="28"/>
          <w:szCs w:val="28"/>
        </w:rPr>
        <w:t>日均处理水量合计</w:t>
      </w:r>
      <w:r>
        <w:rPr>
          <w:rFonts w:ascii="Times New Roman" w:eastAsia="仿宋_GB2312" w:hAnsi="Times New Roman" w:cs="Times New Roman"/>
          <w:bCs/>
          <w:kern w:val="44"/>
          <w:sz w:val="28"/>
          <w:szCs w:val="28"/>
        </w:rPr>
        <w:t>1493.0</w:t>
      </w:r>
      <w:r w:rsidRPr="00E95B6F">
        <w:rPr>
          <w:rFonts w:ascii="Times New Roman" w:eastAsia="仿宋_GB2312" w:hAnsi="Times New Roman" w:cs="Times New Roman"/>
          <w:bCs/>
          <w:kern w:val="44"/>
          <w:sz w:val="28"/>
          <w:szCs w:val="28"/>
        </w:rPr>
        <w:t>万吨，总体运行负荷</w:t>
      </w:r>
      <w:r>
        <w:rPr>
          <w:rFonts w:ascii="Times New Roman" w:eastAsia="仿宋_GB2312" w:hAnsi="Times New Roman" w:cs="Times New Roman"/>
          <w:bCs/>
          <w:kern w:val="44"/>
          <w:sz w:val="28"/>
          <w:szCs w:val="28"/>
        </w:rPr>
        <w:t>80.2</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。各设区市</w:t>
      </w:r>
      <w:r>
        <w:rPr>
          <w:rFonts w:ascii="Times New Roman" w:eastAsia="仿宋_GB2312" w:hAnsi="Times New Roman" w:cs="Times New Roman" w:hint="eastAsia"/>
          <w:bCs/>
          <w:kern w:val="44"/>
          <w:sz w:val="28"/>
          <w:szCs w:val="28"/>
        </w:rPr>
        <w:t>实际</w:t>
      </w:r>
      <w:r w:rsidRPr="00E95B6F">
        <w:rPr>
          <w:rFonts w:ascii="Times New Roman" w:eastAsia="仿宋_GB2312" w:hAnsi="Times New Roman" w:cs="Times New Roman"/>
          <w:bCs/>
          <w:kern w:val="44"/>
          <w:sz w:val="28"/>
          <w:szCs w:val="28"/>
        </w:rPr>
        <w:t>日均处理水量范围为</w:t>
      </w:r>
      <w:r>
        <w:rPr>
          <w:rFonts w:ascii="Times New Roman" w:eastAsia="仿宋_GB2312" w:hAnsi="Times New Roman" w:cs="Times New Roman"/>
          <w:bCs/>
          <w:kern w:val="44"/>
          <w:sz w:val="28"/>
          <w:szCs w:val="28"/>
        </w:rPr>
        <w:t>12.8</w:t>
      </w:r>
      <w:r w:rsidRPr="00E95B6F">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296.4</w:t>
      </w:r>
      <w:r w:rsidRPr="00E95B6F">
        <w:rPr>
          <w:rFonts w:ascii="Times New Roman" w:eastAsia="仿宋_GB2312" w:hAnsi="Times New Roman" w:cs="Times New Roman"/>
          <w:bCs/>
          <w:kern w:val="44"/>
          <w:sz w:val="28"/>
          <w:szCs w:val="28"/>
        </w:rPr>
        <w:t>万吨，运行负荷范围为</w:t>
      </w:r>
      <w:r>
        <w:rPr>
          <w:rFonts w:ascii="Times New Roman" w:eastAsia="仿宋_GB2312" w:hAnsi="Times New Roman" w:cs="Times New Roman"/>
          <w:bCs/>
          <w:kern w:val="44"/>
          <w:sz w:val="28"/>
          <w:szCs w:val="28"/>
        </w:rPr>
        <w:t>55.5%-86.3</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w:t>
      </w:r>
    </w:p>
    <w:p w14:paraId="7C414179" w14:textId="77777777" w:rsidR="00565294" w:rsidRPr="00E95B6F" w:rsidRDefault="00565294" w:rsidP="00565294">
      <w:pPr>
        <w:spacing w:line="52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Pr="00E95B6F">
        <w:rPr>
          <w:rFonts w:ascii="Times New Roman" w:eastAsia="仿宋_GB2312" w:hAnsi="Times New Roman" w:cs="Times New Roman"/>
          <w:b/>
          <w:sz w:val="24"/>
          <w:szCs w:val="24"/>
        </w:rPr>
        <w:t xml:space="preserve">3   </w:t>
      </w:r>
      <w:r>
        <w:rPr>
          <w:rFonts w:ascii="Times New Roman" w:eastAsia="仿宋_GB2312" w:hAnsi="Times New Roman" w:cs="Times New Roman"/>
          <w:b/>
          <w:sz w:val="24"/>
          <w:szCs w:val="24"/>
        </w:rPr>
        <w:t>污水处理厂运行情况</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87"/>
        <w:gridCol w:w="583"/>
        <w:gridCol w:w="583"/>
        <w:gridCol w:w="583"/>
        <w:gridCol w:w="583"/>
        <w:gridCol w:w="583"/>
        <w:gridCol w:w="583"/>
        <w:gridCol w:w="583"/>
        <w:gridCol w:w="583"/>
        <w:gridCol w:w="581"/>
        <w:gridCol w:w="581"/>
        <w:gridCol w:w="665"/>
      </w:tblGrid>
      <w:tr w:rsidR="00565294" w:rsidRPr="00D05A24" w14:paraId="5B070A29" w14:textId="77777777" w:rsidTr="005047AD">
        <w:trPr>
          <w:trHeight w:val="527"/>
          <w:jc w:val="center"/>
        </w:trPr>
        <w:tc>
          <w:tcPr>
            <w:tcW w:w="836" w:type="pct"/>
            <w:shd w:val="clear" w:color="auto" w:fill="auto"/>
            <w:vAlign w:val="center"/>
          </w:tcPr>
          <w:p w14:paraId="6E79C6CD" w14:textId="77777777" w:rsidR="00565294" w:rsidRPr="00D05A24"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设区市</w:t>
            </w:r>
          </w:p>
        </w:tc>
        <w:tc>
          <w:tcPr>
            <w:tcW w:w="345" w:type="pct"/>
            <w:shd w:val="clear" w:color="auto" w:fill="auto"/>
            <w:vAlign w:val="center"/>
          </w:tcPr>
          <w:p w14:paraId="50CC8C73" w14:textId="77777777" w:rsidR="00565294" w:rsidRPr="00D05A24"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杭州</w:t>
            </w:r>
          </w:p>
        </w:tc>
        <w:tc>
          <w:tcPr>
            <w:tcW w:w="343" w:type="pct"/>
            <w:shd w:val="clear" w:color="auto" w:fill="auto"/>
            <w:vAlign w:val="center"/>
          </w:tcPr>
          <w:p w14:paraId="5234F9DC" w14:textId="77777777" w:rsidR="00565294" w:rsidRPr="00D05A24"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宁波</w:t>
            </w:r>
          </w:p>
        </w:tc>
        <w:tc>
          <w:tcPr>
            <w:tcW w:w="343" w:type="pct"/>
            <w:shd w:val="clear" w:color="auto" w:fill="auto"/>
            <w:vAlign w:val="center"/>
          </w:tcPr>
          <w:p w14:paraId="55623DD8" w14:textId="77777777" w:rsidR="00565294" w:rsidRPr="00D05A24"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温州</w:t>
            </w:r>
          </w:p>
        </w:tc>
        <w:tc>
          <w:tcPr>
            <w:tcW w:w="343" w:type="pct"/>
            <w:shd w:val="clear" w:color="auto" w:fill="auto"/>
            <w:vAlign w:val="center"/>
          </w:tcPr>
          <w:p w14:paraId="34EB67E7" w14:textId="77777777" w:rsidR="00565294" w:rsidRPr="00D05A24"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hint="eastAsia"/>
                <w:bCs/>
                <w:kern w:val="44"/>
                <w:sz w:val="22"/>
              </w:rPr>
              <w:t>湖州</w:t>
            </w:r>
          </w:p>
        </w:tc>
        <w:tc>
          <w:tcPr>
            <w:tcW w:w="343" w:type="pct"/>
            <w:shd w:val="clear" w:color="auto" w:fill="auto"/>
            <w:vAlign w:val="center"/>
          </w:tcPr>
          <w:p w14:paraId="45FDD9FE" w14:textId="77777777" w:rsidR="00565294" w:rsidRPr="00D05A24"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hint="eastAsia"/>
                <w:bCs/>
                <w:kern w:val="44"/>
                <w:sz w:val="22"/>
              </w:rPr>
              <w:t>嘉兴</w:t>
            </w:r>
          </w:p>
        </w:tc>
        <w:tc>
          <w:tcPr>
            <w:tcW w:w="343" w:type="pct"/>
            <w:shd w:val="clear" w:color="auto" w:fill="auto"/>
            <w:vAlign w:val="center"/>
          </w:tcPr>
          <w:p w14:paraId="36A0AD48" w14:textId="77777777" w:rsidR="00565294" w:rsidRPr="00D05A24"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绍兴</w:t>
            </w:r>
          </w:p>
        </w:tc>
        <w:tc>
          <w:tcPr>
            <w:tcW w:w="343" w:type="pct"/>
            <w:shd w:val="clear" w:color="auto" w:fill="auto"/>
            <w:vAlign w:val="center"/>
          </w:tcPr>
          <w:p w14:paraId="4D246BFC" w14:textId="77777777" w:rsidR="00565294" w:rsidRPr="00D05A24"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金华</w:t>
            </w:r>
          </w:p>
        </w:tc>
        <w:tc>
          <w:tcPr>
            <w:tcW w:w="343" w:type="pct"/>
            <w:shd w:val="clear" w:color="auto" w:fill="auto"/>
            <w:vAlign w:val="center"/>
          </w:tcPr>
          <w:p w14:paraId="094F91AB" w14:textId="77777777" w:rsidR="00565294" w:rsidRPr="00D05A24"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衢州</w:t>
            </w:r>
          </w:p>
        </w:tc>
        <w:tc>
          <w:tcPr>
            <w:tcW w:w="343" w:type="pct"/>
            <w:shd w:val="clear" w:color="auto" w:fill="auto"/>
            <w:vAlign w:val="center"/>
          </w:tcPr>
          <w:p w14:paraId="4C940EE8" w14:textId="77777777" w:rsidR="00565294" w:rsidRPr="00D05A24"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舟山</w:t>
            </w:r>
          </w:p>
        </w:tc>
        <w:tc>
          <w:tcPr>
            <w:tcW w:w="342" w:type="pct"/>
            <w:shd w:val="clear" w:color="auto" w:fill="auto"/>
            <w:vAlign w:val="center"/>
          </w:tcPr>
          <w:p w14:paraId="670CC68D" w14:textId="77777777" w:rsidR="00565294" w:rsidRPr="00D05A24"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台州</w:t>
            </w:r>
          </w:p>
        </w:tc>
        <w:tc>
          <w:tcPr>
            <w:tcW w:w="342" w:type="pct"/>
            <w:shd w:val="clear" w:color="auto" w:fill="auto"/>
            <w:vAlign w:val="center"/>
          </w:tcPr>
          <w:p w14:paraId="7029FB1E" w14:textId="77777777" w:rsidR="00565294" w:rsidRPr="00D05A24"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丽水</w:t>
            </w:r>
          </w:p>
        </w:tc>
        <w:tc>
          <w:tcPr>
            <w:tcW w:w="391" w:type="pct"/>
            <w:vAlign w:val="center"/>
          </w:tcPr>
          <w:p w14:paraId="15939D52" w14:textId="77777777" w:rsidR="00565294" w:rsidRPr="00DC4B64" w:rsidRDefault="00565294" w:rsidP="005047AD">
            <w:pPr>
              <w:spacing w:line="300" w:lineRule="exact"/>
              <w:ind w:leftChars="-50" w:left="-105" w:rightChars="-50" w:right="-105"/>
              <w:jc w:val="center"/>
              <w:rPr>
                <w:rFonts w:ascii="Times New Roman" w:eastAsia="仿宋_GB2312" w:hAnsi="Times New Roman" w:cs="Times New Roman"/>
                <w:bCs/>
                <w:kern w:val="44"/>
                <w:sz w:val="22"/>
              </w:rPr>
            </w:pPr>
            <w:r w:rsidRPr="00DC4B64">
              <w:rPr>
                <w:rFonts w:ascii="Times New Roman" w:eastAsia="仿宋_GB2312" w:hAnsi="Times New Roman" w:cs="Times New Roman"/>
                <w:bCs/>
                <w:kern w:val="44"/>
                <w:sz w:val="22"/>
              </w:rPr>
              <w:t>全省</w:t>
            </w:r>
          </w:p>
        </w:tc>
      </w:tr>
      <w:tr w:rsidR="00565294" w:rsidRPr="00D05A24" w14:paraId="179C54CF" w14:textId="77777777" w:rsidTr="005047AD">
        <w:trPr>
          <w:trHeight w:val="417"/>
          <w:jc w:val="center"/>
        </w:trPr>
        <w:tc>
          <w:tcPr>
            <w:tcW w:w="836" w:type="pct"/>
            <w:shd w:val="clear" w:color="auto" w:fill="auto"/>
            <w:vAlign w:val="center"/>
          </w:tcPr>
          <w:p w14:paraId="381DA9A7" w14:textId="77777777" w:rsidR="00565294" w:rsidRPr="00D05A24"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污水处理厂数（家）</w:t>
            </w:r>
          </w:p>
        </w:tc>
        <w:tc>
          <w:tcPr>
            <w:tcW w:w="345" w:type="pct"/>
            <w:shd w:val="clear" w:color="auto" w:fill="auto"/>
            <w:vAlign w:val="center"/>
          </w:tcPr>
          <w:p w14:paraId="65022E94"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Pr>
                <w:rFonts w:ascii="Times New Roman" w:eastAsia="幼圆" w:hAnsi="Times New Roman" w:cs="Times New Roman" w:hint="eastAsia"/>
                <w:bCs/>
                <w:kern w:val="44"/>
                <w:sz w:val="22"/>
              </w:rPr>
              <w:t>5</w:t>
            </w:r>
            <w:r>
              <w:rPr>
                <w:rFonts w:ascii="Times New Roman" w:eastAsia="幼圆" w:hAnsi="Times New Roman" w:cs="Times New Roman"/>
                <w:bCs/>
                <w:kern w:val="44"/>
                <w:sz w:val="22"/>
              </w:rPr>
              <w:t>7</w:t>
            </w:r>
          </w:p>
        </w:tc>
        <w:tc>
          <w:tcPr>
            <w:tcW w:w="343" w:type="pct"/>
            <w:shd w:val="clear" w:color="auto" w:fill="auto"/>
            <w:vAlign w:val="center"/>
          </w:tcPr>
          <w:p w14:paraId="1FC1C579"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45</w:t>
            </w:r>
          </w:p>
        </w:tc>
        <w:tc>
          <w:tcPr>
            <w:tcW w:w="343" w:type="pct"/>
            <w:shd w:val="clear" w:color="auto" w:fill="auto"/>
            <w:vAlign w:val="center"/>
          </w:tcPr>
          <w:p w14:paraId="67C18766"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Pr>
                <w:rFonts w:ascii="Times New Roman" w:eastAsia="幼圆" w:hAnsi="Times New Roman" w:cs="Times New Roman"/>
                <w:bCs/>
                <w:kern w:val="44"/>
                <w:sz w:val="22"/>
              </w:rPr>
              <w:t>61</w:t>
            </w:r>
          </w:p>
        </w:tc>
        <w:tc>
          <w:tcPr>
            <w:tcW w:w="343" w:type="pct"/>
            <w:shd w:val="clear" w:color="auto" w:fill="auto"/>
            <w:vAlign w:val="center"/>
          </w:tcPr>
          <w:p w14:paraId="06744919"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4</w:t>
            </w:r>
            <w:r>
              <w:rPr>
                <w:rFonts w:ascii="Times New Roman" w:eastAsia="幼圆" w:hAnsi="Times New Roman" w:cs="Times New Roman"/>
                <w:bCs/>
                <w:kern w:val="44"/>
                <w:sz w:val="22"/>
              </w:rPr>
              <w:t>7</w:t>
            </w:r>
          </w:p>
        </w:tc>
        <w:tc>
          <w:tcPr>
            <w:tcW w:w="343" w:type="pct"/>
            <w:shd w:val="clear" w:color="auto" w:fill="auto"/>
            <w:vAlign w:val="center"/>
          </w:tcPr>
          <w:p w14:paraId="3624ECEB"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Pr>
                <w:rFonts w:ascii="Times New Roman" w:eastAsia="幼圆" w:hAnsi="Times New Roman" w:cs="Times New Roman"/>
                <w:bCs/>
                <w:kern w:val="44"/>
                <w:sz w:val="22"/>
              </w:rPr>
              <w:t>18</w:t>
            </w:r>
          </w:p>
        </w:tc>
        <w:tc>
          <w:tcPr>
            <w:tcW w:w="343" w:type="pct"/>
            <w:shd w:val="clear" w:color="auto" w:fill="auto"/>
            <w:vAlign w:val="center"/>
          </w:tcPr>
          <w:p w14:paraId="41A1CCFC"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Pr>
                <w:rFonts w:ascii="Times New Roman" w:eastAsia="幼圆" w:hAnsi="Times New Roman" w:cs="Times New Roman"/>
                <w:bCs/>
                <w:kern w:val="44"/>
                <w:sz w:val="22"/>
              </w:rPr>
              <w:t>19</w:t>
            </w:r>
          </w:p>
        </w:tc>
        <w:tc>
          <w:tcPr>
            <w:tcW w:w="343" w:type="pct"/>
            <w:shd w:val="clear" w:color="auto" w:fill="auto"/>
            <w:vAlign w:val="center"/>
          </w:tcPr>
          <w:p w14:paraId="7741C2AD"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Pr>
                <w:rFonts w:ascii="Times New Roman" w:eastAsia="幼圆" w:hAnsi="Times New Roman" w:cs="Times New Roman"/>
                <w:bCs/>
                <w:kern w:val="44"/>
                <w:sz w:val="22"/>
              </w:rPr>
              <w:t>47</w:t>
            </w:r>
          </w:p>
        </w:tc>
        <w:tc>
          <w:tcPr>
            <w:tcW w:w="343" w:type="pct"/>
            <w:shd w:val="clear" w:color="auto" w:fill="auto"/>
            <w:vAlign w:val="center"/>
          </w:tcPr>
          <w:p w14:paraId="30D64C9A"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Pr>
                <w:rFonts w:ascii="Times New Roman" w:eastAsia="幼圆" w:hAnsi="Times New Roman" w:cs="Times New Roman"/>
                <w:bCs/>
                <w:kern w:val="44"/>
                <w:sz w:val="22"/>
              </w:rPr>
              <w:t>14</w:t>
            </w:r>
          </w:p>
        </w:tc>
        <w:tc>
          <w:tcPr>
            <w:tcW w:w="343" w:type="pct"/>
            <w:shd w:val="clear" w:color="auto" w:fill="auto"/>
            <w:vAlign w:val="center"/>
          </w:tcPr>
          <w:p w14:paraId="28457D33"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Pr>
                <w:rFonts w:ascii="Times New Roman" w:eastAsia="幼圆" w:hAnsi="Times New Roman" w:cs="Times New Roman"/>
                <w:bCs/>
                <w:kern w:val="44"/>
                <w:sz w:val="22"/>
              </w:rPr>
              <w:t>16</w:t>
            </w:r>
          </w:p>
        </w:tc>
        <w:tc>
          <w:tcPr>
            <w:tcW w:w="342" w:type="pct"/>
            <w:shd w:val="clear" w:color="auto" w:fill="auto"/>
            <w:vAlign w:val="center"/>
          </w:tcPr>
          <w:p w14:paraId="0CE0CB6C"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Pr>
                <w:rFonts w:ascii="Times New Roman" w:eastAsia="幼圆" w:hAnsi="Times New Roman" w:cs="Times New Roman"/>
                <w:bCs/>
                <w:kern w:val="44"/>
                <w:sz w:val="22"/>
              </w:rPr>
              <w:t>45</w:t>
            </w:r>
          </w:p>
        </w:tc>
        <w:tc>
          <w:tcPr>
            <w:tcW w:w="342" w:type="pct"/>
            <w:shd w:val="clear" w:color="auto" w:fill="auto"/>
            <w:vAlign w:val="center"/>
          </w:tcPr>
          <w:p w14:paraId="26E8A310"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17</w:t>
            </w:r>
          </w:p>
        </w:tc>
        <w:tc>
          <w:tcPr>
            <w:tcW w:w="391" w:type="pct"/>
            <w:vAlign w:val="center"/>
          </w:tcPr>
          <w:p w14:paraId="45C45276" w14:textId="77777777" w:rsidR="00565294" w:rsidRPr="00DC4B6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DC4B64">
              <w:rPr>
                <w:rFonts w:ascii="Times New Roman" w:eastAsia="幼圆" w:hAnsi="Times New Roman" w:cs="Times New Roman"/>
                <w:bCs/>
                <w:kern w:val="44"/>
                <w:sz w:val="22"/>
              </w:rPr>
              <w:t>3</w:t>
            </w:r>
            <w:r>
              <w:rPr>
                <w:rFonts w:ascii="Times New Roman" w:eastAsia="幼圆" w:hAnsi="Times New Roman" w:cs="Times New Roman"/>
                <w:bCs/>
                <w:kern w:val="44"/>
                <w:sz w:val="22"/>
              </w:rPr>
              <w:t>86</w:t>
            </w:r>
          </w:p>
        </w:tc>
      </w:tr>
      <w:tr w:rsidR="00565294" w:rsidRPr="00D05A24" w14:paraId="56059F0A" w14:textId="77777777" w:rsidTr="005047AD">
        <w:trPr>
          <w:jc w:val="center"/>
        </w:trPr>
        <w:tc>
          <w:tcPr>
            <w:tcW w:w="836" w:type="pct"/>
            <w:shd w:val="clear" w:color="auto" w:fill="auto"/>
            <w:vAlign w:val="center"/>
          </w:tcPr>
          <w:p w14:paraId="636E37CE" w14:textId="77777777" w:rsidR="00565294" w:rsidRPr="00D05A24"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设计能力（万吨</w:t>
            </w:r>
            <w:r w:rsidRPr="00D05A24">
              <w:rPr>
                <w:rFonts w:ascii="Times New Roman" w:eastAsia="仿宋_GB2312" w:hAnsi="Times New Roman" w:cs="Times New Roman"/>
                <w:bCs/>
                <w:kern w:val="44"/>
                <w:sz w:val="22"/>
              </w:rPr>
              <w:t>/</w:t>
            </w:r>
            <w:r w:rsidRPr="00D05A24">
              <w:rPr>
                <w:rFonts w:ascii="Times New Roman" w:eastAsia="仿宋_GB2312" w:hAnsi="Times New Roman" w:cs="Times New Roman"/>
                <w:bCs/>
                <w:kern w:val="44"/>
                <w:sz w:val="22"/>
              </w:rPr>
              <w:t>日）</w:t>
            </w:r>
          </w:p>
        </w:tc>
        <w:tc>
          <w:tcPr>
            <w:tcW w:w="345" w:type="pct"/>
            <w:shd w:val="clear" w:color="auto" w:fill="auto"/>
            <w:vAlign w:val="center"/>
          </w:tcPr>
          <w:p w14:paraId="165FB2EE"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375.8</w:t>
            </w:r>
          </w:p>
        </w:tc>
        <w:tc>
          <w:tcPr>
            <w:tcW w:w="343" w:type="pct"/>
            <w:shd w:val="clear" w:color="auto" w:fill="auto"/>
            <w:vAlign w:val="center"/>
          </w:tcPr>
          <w:p w14:paraId="706006CF"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303.5</w:t>
            </w:r>
          </w:p>
        </w:tc>
        <w:tc>
          <w:tcPr>
            <w:tcW w:w="343" w:type="pct"/>
            <w:shd w:val="clear" w:color="auto" w:fill="auto"/>
            <w:vAlign w:val="center"/>
          </w:tcPr>
          <w:p w14:paraId="2EF235CD"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202.4</w:t>
            </w:r>
          </w:p>
        </w:tc>
        <w:tc>
          <w:tcPr>
            <w:tcW w:w="343" w:type="pct"/>
            <w:shd w:val="clear" w:color="auto" w:fill="auto"/>
            <w:vAlign w:val="center"/>
          </w:tcPr>
          <w:p w14:paraId="1D06C407"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116.1</w:t>
            </w:r>
          </w:p>
        </w:tc>
        <w:tc>
          <w:tcPr>
            <w:tcW w:w="343" w:type="pct"/>
            <w:shd w:val="clear" w:color="auto" w:fill="auto"/>
            <w:vAlign w:val="center"/>
          </w:tcPr>
          <w:p w14:paraId="279B101E"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185.5</w:t>
            </w:r>
          </w:p>
        </w:tc>
        <w:tc>
          <w:tcPr>
            <w:tcW w:w="343" w:type="pct"/>
            <w:shd w:val="clear" w:color="auto" w:fill="auto"/>
            <w:vAlign w:val="center"/>
          </w:tcPr>
          <w:p w14:paraId="02C624FF"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195.2</w:t>
            </w:r>
          </w:p>
        </w:tc>
        <w:tc>
          <w:tcPr>
            <w:tcW w:w="343" w:type="pct"/>
            <w:shd w:val="clear" w:color="auto" w:fill="auto"/>
            <w:vAlign w:val="center"/>
          </w:tcPr>
          <w:p w14:paraId="0685F2CD"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201.7</w:t>
            </w:r>
          </w:p>
        </w:tc>
        <w:tc>
          <w:tcPr>
            <w:tcW w:w="343" w:type="pct"/>
            <w:shd w:val="clear" w:color="auto" w:fill="auto"/>
            <w:vAlign w:val="center"/>
          </w:tcPr>
          <w:p w14:paraId="5BC063BC"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51.4</w:t>
            </w:r>
          </w:p>
        </w:tc>
        <w:tc>
          <w:tcPr>
            <w:tcW w:w="343" w:type="pct"/>
            <w:shd w:val="clear" w:color="auto" w:fill="auto"/>
            <w:vAlign w:val="center"/>
          </w:tcPr>
          <w:p w14:paraId="7EBF1C25"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23.0</w:t>
            </w:r>
          </w:p>
        </w:tc>
        <w:tc>
          <w:tcPr>
            <w:tcW w:w="342" w:type="pct"/>
            <w:shd w:val="clear" w:color="auto" w:fill="auto"/>
            <w:vAlign w:val="center"/>
          </w:tcPr>
          <w:p w14:paraId="04A7A7D6"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156.3</w:t>
            </w:r>
          </w:p>
        </w:tc>
        <w:tc>
          <w:tcPr>
            <w:tcW w:w="342" w:type="pct"/>
            <w:shd w:val="clear" w:color="auto" w:fill="auto"/>
            <w:vAlign w:val="center"/>
          </w:tcPr>
          <w:p w14:paraId="2EDE81E7"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52.0</w:t>
            </w:r>
          </w:p>
        </w:tc>
        <w:tc>
          <w:tcPr>
            <w:tcW w:w="391" w:type="pct"/>
            <w:vAlign w:val="center"/>
          </w:tcPr>
          <w:p w14:paraId="292A477F" w14:textId="77777777" w:rsidR="00565294" w:rsidRPr="00DC4B6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186</w:t>
            </w:r>
            <w:r>
              <w:rPr>
                <w:rFonts w:ascii="Times New Roman" w:eastAsia="幼圆" w:hAnsi="Times New Roman" w:cs="Times New Roman"/>
                <w:bCs/>
                <w:kern w:val="44"/>
                <w:sz w:val="22"/>
              </w:rPr>
              <w:t>1.2</w:t>
            </w:r>
          </w:p>
        </w:tc>
      </w:tr>
      <w:tr w:rsidR="00565294" w:rsidRPr="00D05A24" w14:paraId="5AFCCF5B" w14:textId="77777777" w:rsidTr="005047AD">
        <w:trPr>
          <w:jc w:val="center"/>
        </w:trPr>
        <w:tc>
          <w:tcPr>
            <w:tcW w:w="836" w:type="pct"/>
            <w:shd w:val="clear" w:color="auto" w:fill="auto"/>
            <w:vAlign w:val="center"/>
          </w:tcPr>
          <w:p w14:paraId="30B31C8C" w14:textId="77777777" w:rsidR="00565294" w:rsidRPr="00D05A24"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实际水量（万吨</w:t>
            </w:r>
            <w:r w:rsidRPr="00D05A24">
              <w:rPr>
                <w:rFonts w:ascii="Times New Roman" w:eastAsia="仿宋_GB2312" w:hAnsi="Times New Roman" w:cs="Times New Roman"/>
                <w:bCs/>
                <w:kern w:val="44"/>
                <w:sz w:val="22"/>
              </w:rPr>
              <w:t>/</w:t>
            </w:r>
            <w:r w:rsidRPr="00D05A24">
              <w:rPr>
                <w:rFonts w:ascii="Times New Roman" w:eastAsia="仿宋_GB2312" w:hAnsi="Times New Roman" w:cs="Times New Roman"/>
                <w:bCs/>
                <w:kern w:val="44"/>
                <w:sz w:val="22"/>
              </w:rPr>
              <w:t>日）</w:t>
            </w:r>
          </w:p>
        </w:tc>
        <w:tc>
          <w:tcPr>
            <w:tcW w:w="345" w:type="pct"/>
            <w:shd w:val="clear" w:color="auto" w:fill="auto"/>
            <w:vAlign w:val="center"/>
          </w:tcPr>
          <w:p w14:paraId="625AFF7F"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Pr>
                <w:rFonts w:ascii="Times New Roman" w:eastAsia="幼圆" w:hAnsi="Times New Roman" w:cs="Times New Roman" w:hint="eastAsia"/>
                <w:bCs/>
                <w:kern w:val="44"/>
                <w:sz w:val="22"/>
              </w:rPr>
              <w:t>296.4</w:t>
            </w:r>
          </w:p>
        </w:tc>
        <w:tc>
          <w:tcPr>
            <w:tcW w:w="343" w:type="pct"/>
            <w:shd w:val="clear" w:color="auto" w:fill="auto"/>
            <w:vAlign w:val="center"/>
          </w:tcPr>
          <w:p w14:paraId="5808A6C4"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232.6</w:t>
            </w:r>
          </w:p>
        </w:tc>
        <w:tc>
          <w:tcPr>
            <w:tcW w:w="343" w:type="pct"/>
            <w:shd w:val="clear" w:color="auto" w:fill="auto"/>
            <w:vAlign w:val="center"/>
          </w:tcPr>
          <w:p w14:paraId="5EF2A22A"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172.3</w:t>
            </w:r>
          </w:p>
        </w:tc>
        <w:tc>
          <w:tcPr>
            <w:tcW w:w="343" w:type="pct"/>
            <w:shd w:val="clear" w:color="auto" w:fill="auto"/>
            <w:vAlign w:val="center"/>
          </w:tcPr>
          <w:p w14:paraId="1D4413DB"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86.3</w:t>
            </w:r>
          </w:p>
        </w:tc>
        <w:tc>
          <w:tcPr>
            <w:tcW w:w="343" w:type="pct"/>
            <w:shd w:val="clear" w:color="auto" w:fill="auto"/>
            <w:vAlign w:val="center"/>
          </w:tcPr>
          <w:p w14:paraId="57BA6FEE"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160.1</w:t>
            </w:r>
          </w:p>
        </w:tc>
        <w:tc>
          <w:tcPr>
            <w:tcW w:w="343" w:type="pct"/>
            <w:shd w:val="clear" w:color="auto" w:fill="auto"/>
            <w:vAlign w:val="center"/>
          </w:tcPr>
          <w:p w14:paraId="2664E038"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159.1</w:t>
            </w:r>
          </w:p>
        </w:tc>
        <w:tc>
          <w:tcPr>
            <w:tcW w:w="343" w:type="pct"/>
            <w:shd w:val="clear" w:color="auto" w:fill="auto"/>
            <w:vAlign w:val="center"/>
          </w:tcPr>
          <w:p w14:paraId="06FA8742"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166.8</w:t>
            </w:r>
          </w:p>
        </w:tc>
        <w:tc>
          <w:tcPr>
            <w:tcW w:w="343" w:type="pct"/>
            <w:shd w:val="clear" w:color="auto" w:fill="auto"/>
            <w:vAlign w:val="center"/>
          </w:tcPr>
          <w:p w14:paraId="5423AA52"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40.6</w:t>
            </w:r>
          </w:p>
        </w:tc>
        <w:tc>
          <w:tcPr>
            <w:tcW w:w="343" w:type="pct"/>
            <w:shd w:val="clear" w:color="auto" w:fill="auto"/>
            <w:vAlign w:val="center"/>
          </w:tcPr>
          <w:p w14:paraId="7749E03B"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12.8</w:t>
            </w:r>
          </w:p>
        </w:tc>
        <w:tc>
          <w:tcPr>
            <w:tcW w:w="342" w:type="pct"/>
            <w:shd w:val="clear" w:color="auto" w:fill="auto"/>
            <w:vAlign w:val="center"/>
          </w:tcPr>
          <w:p w14:paraId="682C2C78"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125.</w:t>
            </w:r>
            <w:r>
              <w:rPr>
                <w:rFonts w:ascii="Times New Roman" w:eastAsia="幼圆" w:hAnsi="Times New Roman" w:cs="Times New Roman"/>
                <w:bCs/>
                <w:kern w:val="44"/>
                <w:sz w:val="22"/>
              </w:rPr>
              <w:t>0</w:t>
            </w:r>
          </w:p>
        </w:tc>
        <w:tc>
          <w:tcPr>
            <w:tcW w:w="342" w:type="pct"/>
            <w:shd w:val="clear" w:color="auto" w:fill="auto"/>
            <w:vAlign w:val="center"/>
          </w:tcPr>
          <w:p w14:paraId="01B2ED4F"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41.1</w:t>
            </w:r>
          </w:p>
        </w:tc>
        <w:tc>
          <w:tcPr>
            <w:tcW w:w="391" w:type="pct"/>
            <w:vAlign w:val="center"/>
          </w:tcPr>
          <w:p w14:paraId="4846B0E3" w14:textId="77777777" w:rsidR="00565294" w:rsidRPr="00DC4B64" w:rsidRDefault="00565294" w:rsidP="005047AD">
            <w:pPr>
              <w:spacing w:line="300" w:lineRule="exact"/>
              <w:ind w:leftChars="-50" w:left="-105" w:rightChars="-50" w:right="-105"/>
              <w:jc w:val="center"/>
              <w:rPr>
                <w:rFonts w:ascii="Times New Roman" w:eastAsia="幼圆" w:hAnsi="Times New Roman" w:cs="Times New Roman"/>
                <w:bCs/>
                <w:kern w:val="44"/>
                <w:sz w:val="22"/>
              </w:rPr>
            </w:pPr>
            <w:r>
              <w:rPr>
                <w:rFonts w:ascii="Times New Roman" w:eastAsia="幼圆" w:hAnsi="Times New Roman" w:cs="Times New Roman" w:hint="eastAsia"/>
                <w:bCs/>
                <w:kern w:val="44"/>
                <w:sz w:val="22"/>
              </w:rPr>
              <w:t>1493.</w:t>
            </w:r>
            <w:r>
              <w:rPr>
                <w:rFonts w:ascii="Times New Roman" w:eastAsia="幼圆" w:hAnsi="Times New Roman" w:cs="Times New Roman"/>
                <w:bCs/>
                <w:kern w:val="44"/>
                <w:sz w:val="22"/>
              </w:rPr>
              <w:t>0</w:t>
            </w:r>
          </w:p>
        </w:tc>
      </w:tr>
      <w:tr w:rsidR="00565294" w:rsidRPr="00D05A24" w14:paraId="46947213" w14:textId="77777777" w:rsidTr="005047AD">
        <w:trPr>
          <w:trHeight w:val="444"/>
          <w:jc w:val="center"/>
        </w:trPr>
        <w:tc>
          <w:tcPr>
            <w:tcW w:w="836" w:type="pct"/>
            <w:shd w:val="clear" w:color="auto" w:fill="auto"/>
            <w:vAlign w:val="center"/>
          </w:tcPr>
          <w:p w14:paraId="2FABAD34" w14:textId="77777777" w:rsidR="00565294" w:rsidRPr="00D05A24"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运行负荷（</w:t>
            </w:r>
            <w:r w:rsidRPr="00D05A24">
              <w:rPr>
                <w:rFonts w:ascii="Times New Roman" w:eastAsia="仿宋_GB2312" w:hAnsi="Times New Roman" w:cs="Times New Roman"/>
                <w:bCs/>
                <w:kern w:val="44"/>
                <w:sz w:val="22"/>
              </w:rPr>
              <w:t>%</w:t>
            </w:r>
            <w:r w:rsidRPr="00D05A24">
              <w:rPr>
                <w:rFonts w:ascii="Times New Roman" w:eastAsia="仿宋_GB2312" w:hAnsi="Times New Roman" w:cs="Times New Roman"/>
                <w:bCs/>
                <w:kern w:val="44"/>
                <w:sz w:val="22"/>
              </w:rPr>
              <w:t>）</w:t>
            </w:r>
          </w:p>
        </w:tc>
        <w:tc>
          <w:tcPr>
            <w:tcW w:w="345" w:type="pct"/>
            <w:shd w:val="clear" w:color="auto" w:fill="auto"/>
            <w:vAlign w:val="center"/>
          </w:tcPr>
          <w:p w14:paraId="682060E1"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78.</w:t>
            </w:r>
            <w:r w:rsidRPr="00994028">
              <w:rPr>
                <w:rFonts w:ascii="Times New Roman" w:eastAsia="幼圆" w:hAnsi="Times New Roman" w:cs="Times New Roman"/>
                <w:bCs/>
                <w:kern w:val="44"/>
                <w:sz w:val="22"/>
              </w:rPr>
              <w:t>9</w:t>
            </w:r>
          </w:p>
        </w:tc>
        <w:tc>
          <w:tcPr>
            <w:tcW w:w="343" w:type="pct"/>
            <w:shd w:val="clear" w:color="auto" w:fill="auto"/>
            <w:vAlign w:val="center"/>
          </w:tcPr>
          <w:p w14:paraId="3D319265"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76.6</w:t>
            </w:r>
          </w:p>
        </w:tc>
        <w:tc>
          <w:tcPr>
            <w:tcW w:w="343" w:type="pct"/>
            <w:shd w:val="clear" w:color="auto" w:fill="auto"/>
            <w:vAlign w:val="center"/>
          </w:tcPr>
          <w:p w14:paraId="31CA13CB"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85.1</w:t>
            </w:r>
          </w:p>
        </w:tc>
        <w:tc>
          <w:tcPr>
            <w:tcW w:w="343" w:type="pct"/>
            <w:shd w:val="clear" w:color="auto" w:fill="auto"/>
            <w:vAlign w:val="center"/>
          </w:tcPr>
          <w:p w14:paraId="30662A30"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74.3</w:t>
            </w:r>
          </w:p>
        </w:tc>
        <w:tc>
          <w:tcPr>
            <w:tcW w:w="343" w:type="pct"/>
            <w:shd w:val="clear" w:color="auto" w:fill="auto"/>
            <w:vAlign w:val="center"/>
          </w:tcPr>
          <w:p w14:paraId="5A6D4C4D"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86.3</w:t>
            </w:r>
          </w:p>
        </w:tc>
        <w:tc>
          <w:tcPr>
            <w:tcW w:w="343" w:type="pct"/>
            <w:shd w:val="clear" w:color="auto" w:fill="auto"/>
            <w:vAlign w:val="center"/>
          </w:tcPr>
          <w:p w14:paraId="2E151026"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81.5</w:t>
            </w:r>
          </w:p>
        </w:tc>
        <w:tc>
          <w:tcPr>
            <w:tcW w:w="343" w:type="pct"/>
            <w:shd w:val="clear" w:color="auto" w:fill="auto"/>
            <w:vAlign w:val="center"/>
          </w:tcPr>
          <w:p w14:paraId="7919440A"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82.7</w:t>
            </w:r>
          </w:p>
        </w:tc>
        <w:tc>
          <w:tcPr>
            <w:tcW w:w="343" w:type="pct"/>
            <w:shd w:val="clear" w:color="auto" w:fill="auto"/>
            <w:vAlign w:val="center"/>
          </w:tcPr>
          <w:p w14:paraId="5954235A"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78.9</w:t>
            </w:r>
          </w:p>
        </w:tc>
        <w:tc>
          <w:tcPr>
            <w:tcW w:w="343" w:type="pct"/>
            <w:shd w:val="clear" w:color="auto" w:fill="auto"/>
            <w:vAlign w:val="center"/>
          </w:tcPr>
          <w:p w14:paraId="0BDD06F2"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55.5</w:t>
            </w:r>
          </w:p>
        </w:tc>
        <w:tc>
          <w:tcPr>
            <w:tcW w:w="342" w:type="pct"/>
            <w:shd w:val="clear" w:color="auto" w:fill="auto"/>
            <w:vAlign w:val="center"/>
          </w:tcPr>
          <w:p w14:paraId="39601DD3"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80.</w:t>
            </w:r>
            <w:r>
              <w:rPr>
                <w:rFonts w:ascii="Times New Roman" w:eastAsia="幼圆" w:hAnsi="Times New Roman" w:cs="Times New Roman"/>
                <w:bCs/>
                <w:kern w:val="44"/>
                <w:sz w:val="22"/>
              </w:rPr>
              <w:t>8</w:t>
            </w:r>
          </w:p>
        </w:tc>
        <w:tc>
          <w:tcPr>
            <w:tcW w:w="342" w:type="pct"/>
            <w:shd w:val="clear" w:color="auto" w:fill="auto"/>
            <w:vAlign w:val="center"/>
          </w:tcPr>
          <w:p w14:paraId="3764EC10" w14:textId="77777777" w:rsidR="00565294" w:rsidRPr="00D05A2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79.1</w:t>
            </w:r>
          </w:p>
        </w:tc>
        <w:tc>
          <w:tcPr>
            <w:tcW w:w="391" w:type="pct"/>
            <w:vAlign w:val="center"/>
          </w:tcPr>
          <w:p w14:paraId="35C0F56F" w14:textId="77777777" w:rsidR="00565294" w:rsidRPr="00DC4B64" w:rsidRDefault="00565294" w:rsidP="005047AD">
            <w:pPr>
              <w:spacing w:line="300" w:lineRule="exact"/>
              <w:ind w:leftChars="-50" w:left="-105" w:rightChars="-50" w:right="-105"/>
              <w:jc w:val="center"/>
              <w:rPr>
                <w:rFonts w:ascii="Times New Roman" w:eastAsia="幼圆" w:hAnsi="Times New Roman" w:cs="Times New Roman"/>
                <w:bCs/>
                <w:kern w:val="44"/>
                <w:sz w:val="22"/>
              </w:rPr>
            </w:pPr>
            <w:r w:rsidRPr="00994028">
              <w:rPr>
                <w:rFonts w:ascii="Times New Roman" w:eastAsia="幼圆" w:hAnsi="Times New Roman" w:cs="Times New Roman" w:hint="eastAsia"/>
                <w:bCs/>
                <w:kern w:val="44"/>
                <w:sz w:val="22"/>
              </w:rPr>
              <w:t>80.2</w:t>
            </w:r>
          </w:p>
        </w:tc>
      </w:tr>
    </w:tbl>
    <w:p w14:paraId="47E91912" w14:textId="77777777" w:rsidR="00565294" w:rsidRPr="005946F6" w:rsidRDefault="00565294" w:rsidP="00565294">
      <w:pPr>
        <w:widowControl/>
        <w:rPr>
          <w:rFonts w:ascii="宋体" w:eastAsia="宋体" w:hAnsi="宋体" w:cs="宋体"/>
          <w:kern w:val="0"/>
          <w:sz w:val="24"/>
          <w:szCs w:val="24"/>
        </w:rPr>
      </w:pPr>
      <w:r w:rsidRPr="00E95B6F">
        <w:rPr>
          <w:rFonts w:ascii="Times New Roman" w:eastAsia="仿宋_GB2312" w:hAnsi="Times New Roman" w:cs="Times New Roman"/>
          <w:bCs/>
          <w:kern w:val="44"/>
          <w:sz w:val="28"/>
          <w:szCs w:val="28"/>
        </w:rPr>
        <w:t>按设施类型</w:t>
      </w:r>
      <w:r>
        <w:rPr>
          <w:rFonts w:ascii="Times New Roman" w:eastAsia="仿宋_GB2312" w:hAnsi="Times New Roman" w:cs="Times New Roman" w:hint="eastAsia"/>
          <w:bCs/>
          <w:kern w:val="44"/>
          <w:sz w:val="28"/>
          <w:szCs w:val="28"/>
        </w:rPr>
        <w:t>分</w:t>
      </w:r>
      <w:r w:rsidRPr="00E95B6F">
        <w:rPr>
          <w:rFonts w:ascii="Times New Roman" w:eastAsia="仿宋_GB2312" w:hAnsi="Times New Roman" w:cs="Times New Roman"/>
          <w:bCs/>
          <w:kern w:val="44"/>
          <w:sz w:val="28"/>
          <w:szCs w:val="28"/>
        </w:rPr>
        <w:t>，城镇污水处理厂和工业污水处理厂分别为</w:t>
      </w:r>
      <w:r>
        <w:rPr>
          <w:rFonts w:ascii="Times New Roman" w:eastAsia="仿宋_GB2312" w:hAnsi="Times New Roman" w:cs="Times New Roman"/>
          <w:bCs/>
          <w:kern w:val="44"/>
          <w:sz w:val="28"/>
          <w:szCs w:val="28"/>
        </w:rPr>
        <w:t>343</w:t>
      </w:r>
      <w:r w:rsidRPr="00E95B6F">
        <w:rPr>
          <w:rFonts w:ascii="Times New Roman" w:eastAsia="仿宋_GB2312" w:hAnsi="Times New Roman" w:cs="Times New Roman"/>
          <w:bCs/>
          <w:kern w:val="44"/>
          <w:sz w:val="28"/>
          <w:szCs w:val="28"/>
        </w:rPr>
        <w:t>家和</w:t>
      </w:r>
      <w:r>
        <w:rPr>
          <w:rFonts w:ascii="Times New Roman" w:eastAsia="仿宋_GB2312" w:hAnsi="Times New Roman" w:cs="Times New Roman"/>
          <w:bCs/>
          <w:kern w:val="44"/>
          <w:sz w:val="28"/>
          <w:szCs w:val="28"/>
        </w:rPr>
        <w:t>43</w:t>
      </w:r>
      <w:r w:rsidRPr="00E95B6F">
        <w:rPr>
          <w:rFonts w:ascii="Times New Roman" w:eastAsia="仿宋_GB2312" w:hAnsi="Times New Roman" w:cs="Times New Roman"/>
          <w:bCs/>
          <w:kern w:val="44"/>
          <w:sz w:val="28"/>
          <w:szCs w:val="28"/>
        </w:rPr>
        <w:t>家，</w:t>
      </w:r>
      <w:r>
        <w:rPr>
          <w:rFonts w:ascii="Times New Roman" w:eastAsia="仿宋_GB2312" w:hAnsi="Times New Roman" w:cs="Times New Roman" w:hint="eastAsia"/>
          <w:bCs/>
          <w:kern w:val="44"/>
          <w:sz w:val="28"/>
          <w:szCs w:val="28"/>
        </w:rPr>
        <w:t>实际</w:t>
      </w:r>
      <w:r w:rsidRPr="00E95B6F">
        <w:rPr>
          <w:rFonts w:ascii="Times New Roman" w:eastAsia="仿宋_GB2312" w:hAnsi="Times New Roman" w:cs="Times New Roman"/>
          <w:bCs/>
          <w:kern w:val="44"/>
          <w:sz w:val="28"/>
          <w:szCs w:val="28"/>
        </w:rPr>
        <w:t>日均处理水量为</w:t>
      </w:r>
      <w:r w:rsidRPr="00E95B6F">
        <w:rPr>
          <w:rFonts w:ascii="Times New Roman" w:eastAsia="仿宋_GB2312" w:hAnsi="Times New Roman" w:cs="Times New Roman"/>
          <w:bCs/>
          <w:kern w:val="44"/>
          <w:sz w:val="28"/>
          <w:szCs w:val="28"/>
        </w:rPr>
        <w:t>1</w:t>
      </w:r>
      <w:r>
        <w:rPr>
          <w:rFonts w:ascii="Times New Roman" w:eastAsia="仿宋_GB2312" w:hAnsi="Times New Roman" w:cs="Times New Roman"/>
          <w:bCs/>
          <w:kern w:val="44"/>
          <w:sz w:val="28"/>
          <w:szCs w:val="28"/>
        </w:rPr>
        <w:t>386.8</w:t>
      </w:r>
      <w:r w:rsidRPr="00E95B6F">
        <w:rPr>
          <w:rFonts w:ascii="Times New Roman" w:eastAsia="仿宋_GB2312" w:hAnsi="Times New Roman" w:cs="Times New Roman"/>
          <w:bCs/>
          <w:kern w:val="44"/>
          <w:sz w:val="28"/>
          <w:szCs w:val="28"/>
        </w:rPr>
        <w:t>万吨和</w:t>
      </w:r>
      <w:r>
        <w:rPr>
          <w:rFonts w:ascii="Times New Roman" w:eastAsia="仿宋_GB2312" w:hAnsi="Times New Roman" w:cs="Times New Roman"/>
          <w:bCs/>
          <w:kern w:val="44"/>
          <w:sz w:val="28"/>
          <w:szCs w:val="28"/>
        </w:rPr>
        <w:t>106.2</w:t>
      </w:r>
      <w:r w:rsidRPr="00E95B6F">
        <w:rPr>
          <w:rFonts w:ascii="Times New Roman" w:eastAsia="仿宋_GB2312" w:hAnsi="Times New Roman" w:cs="Times New Roman"/>
          <w:bCs/>
          <w:kern w:val="44"/>
          <w:sz w:val="28"/>
          <w:szCs w:val="28"/>
        </w:rPr>
        <w:t>万吨，运行负荷分别为</w:t>
      </w:r>
      <w:r w:rsidRPr="00E95B6F">
        <w:rPr>
          <w:rFonts w:ascii="Times New Roman" w:eastAsia="仿宋_GB2312" w:hAnsi="Times New Roman" w:cs="Times New Roman"/>
          <w:bCs/>
          <w:kern w:val="44"/>
          <w:sz w:val="28"/>
          <w:szCs w:val="28"/>
        </w:rPr>
        <w:t>8</w:t>
      </w:r>
      <w:r>
        <w:rPr>
          <w:rFonts w:ascii="Times New Roman" w:eastAsia="仿宋_GB2312" w:hAnsi="Times New Roman" w:cs="Times New Roman"/>
          <w:bCs/>
          <w:kern w:val="44"/>
          <w:sz w:val="28"/>
          <w:szCs w:val="28"/>
        </w:rPr>
        <w:t>0.5</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和</w:t>
      </w:r>
      <w:r w:rsidRPr="00E95B6F">
        <w:rPr>
          <w:rFonts w:ascii="Times New Roman" w:eastAsia="仿宋_GB2312" w:hAnsi="Times New Roman" w:cs="Times New Roman"/>
          <w:bCs/>
          <w:kern w:val="44"/>
          <w:sz w:val="28"/>
          <w:szCs w:val="28"/>
        </w:rPr>
        <w:t>7</w:t>
      </w:r>
      <w:r>
        <w:rPr>
          <w:rFonts w:ascii="Times New Roman" w:eastAsia="仿宋_GB2312" w:hAnsi="Times New Roman" w:cs="Times New Roman"/>
          <w:bCs/>
          <w:kern w:val="44"/>
          <w:sz w:val="28"/>
          <w:szCs w:val="28"/>
        </w:rPr>
        <w:t>6.2</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w:t>
      </w:r>
    </w:p>
    <w:p w14:paraId="532DE160" w14:textId="77777777" w:rsidR="00565294" w:rsidRPr="0029279F" w:rsidRDefault="00565294" w:rsidP="00565294">
      <w:pPr>
        <w:widowControl/>
        <w:jc w:val="center"/>
        <w:rPr>
          <w:rFonts w:ascii="宋体" w:eastAsia="宋体" w:hAnsi="宋体" w:cs="宋体"/>
          <w:i/>
          <w:kern w:val="0"/>
          <w:sz w:val="24"/>
          <w:szCs w:val="24"/>
        </w:rPr>
      </w:pPr>
      <w:r w:rsidRPr="0029279F">
        <w:rPr>
          <w:i/>
          <w:noProof/>
        </w:rPr>
        <w:drawing>
          <wp:inline distT="0" distB="0" distL="0" distR="0" wp14:anchorId="3528BAC0" wp14:editId="79A1943D">
            <wp:extent cx="3819525" cy="2562225"/>
            <wp:effectExtent l="0" t="0" r="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2BFED0" w14:textId="77777777" w:rsidR="00565294" w:rsidRPr="0029279F" w:rsidRDefault="00565294" w:rsidP="00565294">
      <w:pPr>
        <w:widowControl/>
        <w:jc w:val="center"/>
        <w:rPr>
          <w:rFonts w:ascii="宋体" w:eastAsia="宋体" w:hAnsi="宋体" w:cs="宋体"/>
          <w:kern w:val="0"/>
          <w:sz w:val="24"/>
          <w:szCs w:val="24"/>
        </w:rPr>
      </w:pPr>
    </w:p>
    <w:p w14:paraId="4EF4D91F" w14:textId="77777777" w:rsidR="00565294" w:rsidRDefault="00565294" w:rsidP="00565294">
      <w:pPr>
        <w:spacing w:line="52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图</w:t>
      </w:r>
      <w:r>
        <w:rPr>
          <w:rFonts w:ascii="Times New Roman" w:eastAsia="仿宋_GB2312" w:hAnsi="Times New Roman" w:cs="Times New Roman"/>
          <w:b/>
          <w:sz w:val="24"/>
          <w:szCs w:val="24"/>
        </w:rPr>
        <w:t>6</w:t>
      </w:r>
      <w:r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全省污水处理厂组成情况</w:t>
      </w:r>
    </w:p>
    <w:p w14:paraId="223A61F7" w14:textId="77777777" w:rsidR="00565294" w:rsidRPr="00E95B6F" w:rsidRDefault="00565294" w:rsidP="00565294">
      <w:pPr>
        <w:spacing w:line="50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lastRenderedPageBreak/>
        <w:t>2</w:t>
      </w:r>
      <w:r w:rsidRPr="007D64CD">
        <w:rPr>
          <w:rFonts w:ascii="仿宋_GB2312"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达标情况</w:t>
      </w:r>
    </w:p>
    <w:p w14:paraId="34CD0331" w14:textId="78E5C60E" w:rsidR="00565294" w:rsidRPr="00E95B6F" w:rsidRDefault="00565294" w:rsidP="00565294">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按</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达标率</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达标水量</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实际处理水量</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方式评价，全省</w:t>
      </w:r>
      <w:r>
        <w:rPr>
          <w:rFonts w:ascii="Times New Roman" w:eastAsia="仿宋_GB2312" w:hAnsi="Times New Roman" w:cs="Times New Roman" w:hint="eastAsia"/>
          <w:bCs/>
          <w:kern w:val="44"/>
          <w:sz w:val="28"/>
          <w:szCs w:val="28"/>
        </w:rPr>
        <w:t>3</w:t>
      </w:r>
      <w:r>
        <w:rPr>
          <w:rFonts w:ascii="Times New Roman" w:eastAsia="仿宋_GB2312" w:hAnsi="Times New Roman" w:cs="Times New Roman"/>
          <w:bCs/>
          <w:kern w:val="44"/>
          <w:sz w:val="28"/>
          <w:szCs w:val="28"/>
        </w:rPr>
        <w:t>86</w:t>
      </w:r>
      <w:r w:rsidRPr="00E95B6F">
        <w:rPr>
          <w:rFonts w:ascii="Times New Roman" w:eastAsia="仿宋_GB2312" w:hAnsi="Times New Roman" w:cs="Times New Roman"/>
          <w:bCs/>
          <w:kern w:val="44"/>
          <w:sz w:val="28"/>
          <w:szCs w:val="28"/>
        </w:rPr>
        <w:t>家污水处理厂总体达标率为</w:t>
      </w:r>
      <w:r>
        <w:rPr>
          <w:rFonts w:ascii="Times New Roman" w:eastAsia="仿宋_GB2312" w:hAnsi="Times New Roman" w:cs="Times New Roman"/>
          <w:bCs/>
          <w:kern w:val="44"/>
          <w:sz w:val="28"/>
          <w:szCs w:val="28"/>
        </w:rPr>
        <w:t>99.9</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。其中城镇</w:t>
      </w:r>
      <w:r>
        <w:rPr>
          <w:rFonts w:ascii="Times New Roman" w:eastAsia="仿宋_GB2312" w:hAnsi="Times New Roman" w:cs="Times New Roman"/>
          <w:bCs/>
          <w:kern w:val="44"/>
          <w:sz w:val="28"/>
          <w:szCs w:val="28"/>
        </w:rPr>
        <w:t>99.9</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，工业</w:t>
      </w:r>
      <w:r w:rsidRPr="00E95B6F">
        <w:rPr>
          <w:rFonts w:ascii="Times New Roman" w:eastAsia="仿宋_GB2312" w:hAnsi="Times New Roman" w:cs="Times New Roman"/>
          <w:bCs/>
          <w:kern w:val="44"/>
          <w:sz w:val="28"/>
          <w:szCs w:val="28"/>
        </w:rPr>
        <w:t>100%</w:t>
      </w:r>
      <w:r w:rsidRPr="00E95B6F">
        <w:rPr>
          <w:rFonts w:ascii="Times New Roman" w:eastAsia="仿宋_GB2312" w:hAnsi="Times New Roman" w:cs="Times New Roman"/>
          <w:bCs/>
          <w:kern w:val="44"/>
          <w:sz w:val="28"/>
          <w:szCs w:val="28"/>
        </w:rPr>
        <w:t>。</w:t>
      </w:r>
      <w:r w:rsidR="008F2F85">
        <w:rPr>
          <w:rFonts w:ascii="Times New Roman" w:eastAsia="仿宋_GB2312" w:hAnsi="Times New Roman" w:cs="Times New Roman" w:hint="eastAsia"/>
          <w:bCs/>
          <w:kern w:val="44"/>
          <w:sz w:val="28"/>
          <w:szCs w:val="28"/>
        </w:rPr>
        <w:t>除温州达标率为</w:t>
      </w:r>
      <w:r w:rsidR="008F2F85">
        <w:rPr>
          <w:rFonts w:ascii="Times New Roman" w:eastAsia="仿宋_GB2312" w:hAnsi="Times New Roman" w:cs="Times New Roman" w:hint="eastAsia"/>
          <w:bCs/>
          <w:kern w:val="44"/>
          <w:sz w:val="28"/>
          <w:szCs w:val="28"/>
        </w:rPr>
        <w:t>9</w:t>
      </w:r>
      <w:r w:rsidR="008F2F85">
        <w:rPr>
          <w:rFonts w:ascii="Times New Roman" w:eastAsia="仿宋_GB2312" w:hAnsi="Times New Roman" w:cs="Times New Roman"/>
          <w:bCs/>
          <w:kern w:val="44"/>
          <w:sz w:val="28"/>
          <w:szCs w:val="28"/>
        </w:rPr>
        <w:t>8.9%</w:t>
      </w:r>
      <w:r w:rsidR="008F2F85">
        <w:rPr>
          <w:rFonts w:ascii="Times New Roman" w:eastAsia="仿宋_GB2312" w:hAnsi="Times New Roman" w:cs="Times New Roman" w:hint="eastAsia"/>
          <w:bCs/>
          <w:kern w:val="44"/>
          <w:sz w:val="28"/>
          <w:szCs w:val="28"/>
        </w:rPr>
        <w:t>外，其余各市均为</w:t>
      </w:r>
      <w:r w:rsidR="008F2F85">
        <w:rPr>
          <w:rFonts w:ascii="Times New Roman" w:eastAsia="仿宋_GB2312" w:hAnsi="Times New Roman" w:cs="Times New Roman" w:hint="eastAsia"/>
          <w:bCs/>
          <w:kern w:val="44"/>
          <w:sz w:val="28"/>
          <w:szCs w:val="28"/>
        </w:rPr>
        <w:t>1</w:t>
      </w:r>
      <w:r w:rsidR="008F2F85">
        <w:rPr>
          <w:rFonts w:ascii="Times New Roman" w:eastAsia="仿宋_GB2312" w:hAnsi="Times New Roman" w:cs="Times New Roman"/>
          <w:bCs/>
          <w:kern w:val="44"/>
          <w:sz w:val="28"/>
          <w:szCs w:val="28"/>
        </w:rPr>
        <w:t>00%</w:t>
      </w:r>
      <w:r w:rsidR="008F2F85">
        <w:rPr>
          <w:rFonts w:ascii="Times New Roman" w:eastAsia="仿宋_GB2312" w:hAnsi="Times New Roman" w:cs="Times New Roman" w:hint="eastAsia"/>
          <w:bCs/>
          <w:kern w:val="44"/>
          <w:sz w:val="28"/>
          <w:szCs w:val="28"/>
        </w:rPr>
        <w:t>。</w:t>
      </w:r>
    </w:p>
    <w:p w14:paraId="38004D10" w14:textId="77777777" w:rsidR="00565294" w:rsidRPr="00E95B6F" w:rsidRDefault="00565294" w:rsidP="00565294">
      <w:pPr>
        <w:spacing w:line="500" w:lineRule="exact"/>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表</w:t>
      </w:r>
      <w:r w:rsidRPr="00E95B6F">
        <w:rPr>
          <w:rFonts w:ascii="Times New Roman" w:eastAsia="仿宋_GB2312" w:hAnsi="Times New Roman" w:cs="Times New Roman"/>
          <w:b/>
          <w:bCs/>
          <w:kern w:val="44"/>
          <w:sz w:val="24"/>
          <w:szCs w:val="24"/>
        </w:rPr>
        <w:t xml:space="preserve">4    </w:t>
      </w:r>
      <w:r>
        <w:rPr>
          <w:rFonts w:ascii="Times New Roman" w:eastAsia="仿宋_GB2312" w:hAnsi="Times New Roman" w:cs="Times New Roman"/>
          <w:b/>
          <w:bCs/>
          <w:kern w:val="44"/>
          <w:sz w:val="24"/>
          <w:szCs w:val="24"/>
        </w:rPr>
        <w:t>污水处理厂</w:t>
      </w:r>
      <w:r>
        <w:rPr>
          <w:rFonts w:ascii="Times New Roman" w:eastAsia="仿宋_GB2312" w:hAnsi="Times New Roman" w:cs="Times New Roman" w:hint="eastAsia"/>
          <w:b/>
          <w:bCs/>
          <w:kern w:val="44"/>
          <w:sz w:val="24"/>
          <w:szCs w:val="24"/>
        </w:rPr>
        <w:t>分区域</w:t>
      </w:r>
      <w:r>
        <w:rPr>
          <w:rFonts w:ascii="Times New Roman" w:eastAsia="仿宋_GB2312" w:hAnsi="Times New Roman" w:cs="Times New Roman"/>
          <w:b/>
          <w:bCs/>
          <w:kern w:val="44"/>
          <w:sz w:val="24"/>
          <w:szCs w:val="24"/>
        </w:rPr>
        <w:t>达标情况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473"/>
        <w:gridCol w:w="576"/>
        <w:gridCol w:w="646"/>
        <w:gridCol w:w="598"/>
        <w:gridCol w:w="583"/>
        <w:gridCol w:w="580"/>
        <w:gridCol w:w="586"/>
        <w:gridCol w:w="624"/>
        <w:gridCol w:w="679"/>
        <w:gridCol w:w="680"/>
        <w:gridCol w:w="578"/>
        <w:gridCol w:w="575"/>
        <w:gridCol w:w="575"/>
      </w:tblGrid>
      <w:tr w:rsidR="00565294" w:rsidRPr="00E95B6F" w14:paraId="0101DC0F" w14:textId="77777777" w:rsidTr="005047AD">
        <w:trPr>
          <w:trHeight w:val="454"/>
          <w:jc w:val="center"/>
        </w:trPr>
        <w:tc>
          <w:tcPr>
            <w:tcW w:w="967" w:type="dxa"/>
            <w:gridSpan w:val="2"/>
            <w:shd w:val="clear" w:color="auto" w:fill="auto"/>
            <w:vAlign w:val="center"/>
          </w:tcPr>
          <w:p w14:paraId="7E99259E" w14:textId="77777777" w:rsidR="00565294" w:rsidRPr="00E95B6F"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设区市</w:t>
            </w:r>
          </w:p>
        </w:tc>
        <w:tc>
          <w:tcPr>
            <w:tcW w:w="576" w:type="dxa"/>
            <w:shd w:val="clear" w:color="auto" w:fill="auto"/>
            <w:vAlign w:val="center"/>
          </w:tcPr>
          <w:p w14:paraId="54451130" w14:textId="77777777" w:rsidR="00565294" w:rsidRPr="00E95B6F"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杭州</w:t>
            </w:r>
          </w:p>
        </w:tc>
        <w:tc>
          <w:tcPr>
            <w:tcW w:w="646" w:type="dxa"/>
            <w:shd w:val="clear" w:color="auto" w:fill="auto"/>
            <w:vAlign w:val="center"/>
          </w:tcPr>
          <w:p w14:paraId="78B142C3" w14:textId="77777777" w:rsidR="00565294" w:rsidRPr="00E95B6F"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宁波</w:t>
            </w:r>
          </w:p>
        </w:tc>
        <w:tc>
          <w:tcPr>
            <w:tcW w:w="598" w:type="dxa"/>
            <w:shd w:val="clear" w:color="auto" w:fill="auto"/>
            <w:vAlign w:val="center"/>
          </w:tcPr>
          <w:p w14:paraId="435B3B5C" w14:textId="77777777" w:rsidR="00565294" w:rsidRPr="00E95B6F"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温州</w:t>
            </w:r>
          </w:p>
        </w:tc>
        <w:tc>
          <w:tcPr>
            <w:tcW w:w="583" w:type="dxa"/>
            <w:shd w:val="clear" w:color="auto" w:fill="auto"/>
            <w:vAlign w:val="center"/>
          </w:tcPr>
          <w:p w14:paraId="1E011077" w14:textId="77777777" w:rsidR="00565294" w:rsidRPr="00E95B6F"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湖州</w:t>
            </w:r>
          </w:p>
        </w:tc>
        <w:tc>
          <w:tcPr>
            <w:tcW w:w="580" w:type="dxa"/>
            <w:shd w:val="clear" w:color="auto" w:fill="auto"/>
            <w:vAlign w:val="center"/>
          </w:tcPr>
          <w:p w14:paraId="29E1691E" w14:textId="77777777" w:rsidR="00565294" w:rsidRPr="00E95B6F"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嘉兴</w:t>
            </w:r>
          </w:p>
        </w:tc>
        <w:tc>
          <w:tcPr>
            <w:tcW w:w="586" w:type="dxa"/>
            <w:shd w:val="clear" w:color="auto" w:fill="auto"/>
            <w:vAlign w:val="center"/>
          </w:tcPr>
          <w:p w14:paraId="478A6D1A" w14:textId="77777777" w:rsidR="00565294" w:rsidRPr="00E95B6F"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绍兴</w:t>
            </w:r>
          </w:p>
        </w:tc>
        <w:tc>
          <w:tcPr>
            <w:tcW w:w="624" w:type="dxa"/>
            <w:shd w:val="clear" w:color="auto" w:fill="auto"/>
            <w:vAlign w:val="center"/>
          </w:tcPr>
          <w:p w14:paraId="24886A0B" w14:textId="77777777" w:rsidR="00565294" w:rsidRPr="00E95B6F"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金华</w:t>
            </w:r>
          </w:p>
        </w:tc>
        <w:tc>
          <w:tcPr>
            <w:tcW w:w="679" w:type="dxa"/>
            <w:shd w:val="clear" w:color="auto" w:fill="auto"/>
            <w:vAlign w:val="center"/>
          </w:tcPr>
          <w:p w14:paraId="2058FB8B" w14:textId="77777777" w:rsidR="00565294" w:rsidRPr="00E95B6F"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衢州</w:t>
            </w:r>
          </w:p>
        </w:tc>
        <w:tc>
          <w:tcPr>
            <w:tcW w:w="680" w:type="dxa"/>
            <w:shd w:val="clear" w:color="auto" w:fill="auto"/>
            <w:vAlign w:val="center"/>
          </w:tcPr>
          <w:p w14:paraId="10B6CB48" w14:textId="77777777" w:rsidR="00565294" w:rsidRPr="00E95B6F"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舟山</w:t>
            </w:r>
          </w:p>
        </w:tc>
        <w:tc>
          <w:tcPr>
            <w:tcW w:w="578" w:type="dxa"/>
            <w:shd w:val="clear" w:color="auto" w:fill="auto"/>
            <w:vAlign w:val="center"/>
          </w:tcPr>
          <w:p w14:paraId="4FA13D15" w14:textId="77777777" w:rsidR="00565294" w:rsidRPr="00E95B6F"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台州</w:t>
            </w:r>
          </w:p>
        </w:tc>
        <w:tc>
          <w:tcPr>
            <w:tcW w:w="575" w:type="dxa"/>
            <w:shd w:val="clear" w:color="auto" w:fill="auto"/>
            <w:vAlign w:val="center"/>
          </w:tcPr>
          <w:p w14:paraId="77B123BF" w14:textId="77777777" w:rsidR="00565294" w:rsidRPr="00E95B6F"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丽水</w:t>
            </w:r>
          </w:p>
        </w:tc>
        <w:tc>
          <w:tcPr>
            <w:tcW w:w="575" w:type="dxa"/>
            <w:vAlign w:val="center"/>
          </w:tcPr>
          <w:p w14:paraId="61B53D69" w14:textId="77777777" w:rsidR="00565294" w:rsidRPr="00DC4B64"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DC4B64">
              <w:rPr>
                <w:rFonts w:ascii="Times New Roman" w:eastAsia="仿宋_GB2312" w:hAnsi="Times New Roman" w:cs="Times New Roman"/>
                <w:bCs/>
                <w:kern w:val="44"/>
                <w:sz w:val="22"/>
              </w:rPr>
              <w:t>全省</w:t>
            </w:r>
          </w:p>
        </w:tc>
      </w:tr>
      <w:tr w:rsidR="00565294" w:rsidRPr="00E95B6F" w14:paraId="2BA068A5" w14:textId="77777777" w:rsidTr="005047AD">
        <w:trPr>
          <w:trHeight w:val="445"/>
          <w:jc w:val="center"/>
        </w:trPr>
        <w:tc>
          <w:tcPr>
            <w:tcW w:w="967" w:type="dxa"/>
            <w:gridSpan w:val="2"/>
            <w:shd w:val="clear" w:color="auto" w:fill="auto"/>
            <w:vAlign w:val="center"/>
          </w:tcPr>
          <w:p w14:paraId="3F63E90A" w14:textId="77777777" w:rsidR="00565294" w:rsidRPr="00E95B6F" w:rsidRDefault="00565294" w:rsidP="005047AD">
            <w:pPr>
              <w:spacing w:line="26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总体达标率（</w:t>
            </w:r>
            <w:r w:rsidRPr="00E95B6F">
              <w:rPr>
                <w:rFonts w:ascii="Times New Roman" w:eastAsia="仿宋_GB2312" w:hAnsi="Times New Roman" w:cs="Times New Roman"/>
                <w:bCs/>
                <w:kern w:val="44"/>
                <w:sz w:val="22"/>
              </w:rPr>
              <w:t>%</w:t>
            </w:r>
            <w:r w:rsidRPr="00E95B6F">
              <w:rPr>
                <w:rFonts w:ascii="Times New Roman" w:eastAsia="仿宋_GB2312" w:hAnsi="Times New Roman" w:cs="Times New Roman"/>
                <w:bCs/>
                <w:kern w:val="44"/>
                <w:sz w:val="22"/>
              </w:rPr>
              <w:t>）</w:t>
            </w:r>
          </w:p>
        </w:tc>
        <w:tc>
          <w:tcPr>
            <w:tcW w:w="576" w:type="dxa"/>
            <w:shd w:val="clear" w:color="auto" w:fill="auto"/>
            <w:vAlign w:val="center"/>
          </w:tcPr>
          <w:p w14:paraId="76F00A4F"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646" w:type="dxa"/>
            <w:shd w:val="clear" w:color="auto" w:fill="auto"/>
            <w:vAlign w:val="center"/>
          </w:tcPr>
          <w:p w14:paraId="71C870A8"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598" w:type="dxa"/>
            <w:shd w:val="clear" w:color="auto" w:fill="auto"/>
            <w:vAlign w:val="center"/>
          </w:tcPr>
          <w:p w14:paraId="3196D5E4"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98.9</w:t>
            </w:r>
            <w:r w:rsidRPr="00687B93">
              <w:rPr>
                <w:rFonts w:ascii="Times New Roman" w:eastAsia="幼圆" w:hAnsi="Times New Roman" w:cs="Times New Roman" w:hint="eastAsia"/>
                <w:bCs/>
                <w:kern w:val="44"/>
                <w:szCs w:val="21"/>
              </w:rPr>
              <w:t xml:space="preserve"> </w:t>
            </w:r>
          </w:p>
        </w:tc>
        <w:tc>
          <w:tcPr>
            <w:tcW w:w="583" w:type="dxa"/>
            <w:shd w:val="clear" w:color="auto" w:fill="auto"/>
            <w:vAlign w:val="center"/>
          </w:tcPr>
          <w:p w14:paraId="02986539"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100</w:t>
            </w:r>
          </w:p>
        </w:tc>
        <w:tc>
          <w:tcPr>
            <w:tcW w:w="580" w:type="dxa"/>
            <w:shd w:val="clear" w:color="auto" w:fill="auto"/>
            <w:vAlign w:val="center"/>
          </w:tcPr>
          <w:p w14:paraId="2B6FE392"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100</w:t>
            </w:r>
          </w:p>
        </w:tc>
        <w:tc>
          <w:tcPr>
            <w:tcW w:w="586" w:type="dxa"/>
            <w:shd w:val="clear" w:color="auto" w:fill="auto"/>
            <w:vAlign w:val="center"/>
          </w:tcPr>
          <w:p w14:paraId="7E7A23CA"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624" w:type="dxa"/>
            <w:shd w:val="clear" w:color="auto" w:fill="auto"/>
            <w:vAlign w:val="center"/>
          </w:tcPr>
          <w:p w14:paraId="2EBC05BA"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679" w:type="dxa"/>
            <w:shd w:val="clear" w:color="auto" w:fill="auto"/>
            <w:vAlign w:val="center"/>
          </w:tcPr>
          <w:p w14:paraId="7E348875"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680" w:type="dxa"/>
            <w:shd w:val="clear" w:color="auto" w:fill="auto"/>
            <w:vAlign w:val="center"/>
          </w:tcPr>
          <w:p w14:paraId="4063F32E"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578" w:type="dxa"/>
            <w:shd w:val="clear" w:color="auto" w:fill="auto"/>
            <w:vAlign w:val="center"/>
          </w:tcPr>
          <w:p w14:paraId="5574FD28"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575" w:type="dxa"/>
            <w:shd w:val="clear" w:color="auto" w:fill="auto"/>
            <w:vAlign w:val="center"/>
          </w:tcPr>
          <w:p w14:paraId="0420D262"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575" w:type="dxa"/>
            <w:vAlign w:val="center"/>
          </w:tcPr>
          <w:p w14:paraId="7A33ADD3" w14:textId="77777777" w:rsidR="00565294" w:rsidRPr="00DC4B64"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DC4B64">
              <w:rPr>
                <w:rFonts w:ascii="Times New Roman" w:eastAsia="幼圆" w:hAnsi="Times New Roman" w:cs="Times New Roman"/>
                <w:bCs/>
                <w:kern w:val="44"/>
                <w:szCs w:val="21"/>
              </w:rPr>
              <w:t>99.</w:t>
            </w:r>
            <w:r>
              <w:rPr>
                <w:rFonts w:ascii="Times New Roman" w:eastAsia="幼圆" w:hAnsi="Times New Roman" w:cs="Times New Roman"/>
                <w:bCs/>
                <w:kern w:val="44"/>
                <w:szCs w:val="21"/>
              </w:rPr>
              <w:t>9</w:t>
            </w:r>
          </w:p>
        </w:tc>
      </w:tr>
      <w:tr w:rsidR="00565294" w:rsidRPr="00E95B6F" w14:paraId="2182FF04" w14:textId="77777777" w:rsidTr="005047AD">
        <w:trPr>
          <w:trHeight w:val="445"/>
          <w:jc w:val="center"/>
        </w:trPr>
        <w:tc>
          <w:tcPr>
            <w:tcW w:w="494" w:type="dxa"/>
            <w:vMerge w:val="restart"/>
            <w:shd w:val="clear" w:color="auto" w:fill="auto"/>
            <w:vAlign w:val="center"/>
          </w:tcPr>
          <w:p w14:paraId="43DB587C" w14:textId="77777777" w:rsidR="00565294" w:rsidRPr="00E95B6F" w:rsidRDefault="00565294" w:rsidP="005047AD">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其中</w:t>
            </w:r>
          </w:p>
        </w:tc>
        <w:tc>
          <w:tcPr>
            <w:tcW w:w="473" w:type="dxa"/>
            <w:shd w:val="clear" w:color="auto" w:fill="auto"/>
            <w:vAlign w:val="center"/>
          </w:tcPr>
          <w:p w14:paraId="50DE5F05" w14:textId="77777777" w:rsidR="00565294" w:rsidRPr="00E95B6F" w:rsidRDefault="00565294" w:rsidP="005047AD">
            <w:pPr>
              <w:spacing w:line="26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城镇</w:t>
            </w:r>
          </w:p>
        </w:tc>
        <w:tc>
          <w:tcPr>
            <w:tcW w:w="576" w:type="dxa"/>
            <w:shd w:val="clear" w:color="auto" w:fill="auto"/>
            <w:vAlign w:val="center"/>
          </w:tcPr>
          <w:p w14:paraId="7DF011B6"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646" w:type="dxa"/>
            <w:shd w:val="clear" w:color="auto" w:fill="auto"/>
            <w:vAlign w:val="center"/>
          </w:tcPr>
          <w:p w14:paraId="7DE47D95"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hint="eastAsia"/>
                <w:bCs/>
                <w:kern w:val="44"/>
                <w:szCs w:val="21"/>
              </w:rPr>
              <w:t>1</w:t>
            </w:r>
            <w:r>
              <w:rPr>
                <w:rFonts w:ascii="Times New Roman" w:eastAsia="幼圆" w:hAnsi="Times New Roman" w:cs="Times New Roman"/>
                <w:bCs/>
                <w:kern w:val="44"/>
                <w:szCs w:val="21"/>
              </w:rPr>
              <w:t>00</w:t>
            </w:r>
          </w:p>
        </w:tc>
        <w:tc>
          <w:tcPr>
            <w:tcW w:w="598" w:type="dxa"/>
            <w:shd w:val="clear" w:color="auto" w:fill="auto"/>
            <w:vAlign w:val="center"/>
          </w:tcPr>
          <w:p w14:paraId="41B2B0BE"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9</w:t>
            </w:r>
            <w:r>
              <w:rPr>
                <w:rFonts w:ascii="Times New Roman" w:eastAsia="幼圆" w:hAnsi="Times New Roman" w:cs="Times New Roman"/>
                <w:bCs/>
                <w:kern w:val="44"/>
                <w:szCs w:val="21"/>
              </w:rPr>
              <w:t>8.9</w:t>
            </w:r>
            <w:r w:rsidRPr="00687B93">
              <w:rPr>
                <w:rFonts w:ascii="Times New Roman" w:eastAsia="幼圆" w:hAnsi="Times New Roman" w:cs="Times New Roman" w:hint="eastAsia"/>
                <w:bCs/>
                <w:kern w:val="44"/>
                <w:szCs w:val="21"/>
              </w:rPr>
              <w:t xml:space="preserve"> </w:t>
            </w:r>
          </w:p>
        </w:tc>
        <w:tc>
          <w:tcPr>
            <w:tcW w:w="583" w:type="dxa"/>
            <w:shd w:val="clear" w:color="auto" w:fill="auto"/>
            <w:vAlign w:val="center"/>
          </w:tcPr>
          <w:p w14:paraId="7F334D59"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100</w:t>
            </w:r>
          </w:p>
        </w:tc>
        <w:tc>
          <w:tcPr>
            <w:tcW w:w="580" w:type="dxa"/>
            <w:shd w:val="clear" w:color="auto" w:fill="auto"/>
            <w:vAlign w:val="center"/>
          </w:tcPr>
          <w:p w14:paraId="6E2B57D9"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100</w:t>
            </w:r>
          </w:p>
        </w:tc>
        <w:tc>
          <w:tcPr>
            <w:tcW w:w="586" w:type="dxa"/>
            <w:shd w:val="clear" w:color="auto" w:fill="auto"/>
            <w:vAlign w:val="center"/>
          </w:tcPr>
          <w:p w14:paraId="0FD61E3D"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624" w:type="dxa"/>
            <w:shd w:val="clear" w:color="auto" w:fill="auto"/>
            <w:vAlign w:val="center"/>
          </w:tcPr>
          <w:p w14:paraId="2452CE1F"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679" w:type="dxa"/>
            <w:shd w:val="clear" w:color="auto" w:fill="auto"/>
            <w:vAlign w:val="center"/>
          </w:tcPr>
          <w:p w14:paraId="17BA4B70"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680" w:type="dxa"/>
            <w:shd w:val="clear" w:color="auto" w:fill="auto"/>
            <w:vAlign w:val="center"/>
          </w:tcPr>
          <w:p w14:paraId="60ECC8CC"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578" w:type="dxa"/>
            <w:shd w:val="clear" w:color="auto" w:fill="auto"/>
            <w:vAlign w:val="center"/>
          </w:tcPr>
          <w:p w14:paraId="76E03464"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575" w:type="dxa"/>
            <w:vAlign w:val="center"/>
          </w:tcPr>
          <w:p w14:paraId="1246CAF4" w14:textId="77777777" w:rsidR="00565294" w:rsidRPr="00DC4B64"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DC4B64">
              <w:rPr>
                <w:rFonts w:ascii="Times New Roman" w:eastAsia="幼圆" w:hAnsi="Times New Roman" w:cs="Times New Roman" w:hint="eastAsia"/>
                <w:bCs/>
                <w:kern w:val="44"/>
                <w:szCs w:val="21"/>
              </w:rPr>
              <w:t>100</w:t>
            </w:r>
          </w:p>
        </w:tc>
        <w:tc>
          <w:tcPr>
            <w:tcW w:w="575" w:type="dxa"/>
            <w:shd w:val="clear" w:color="auto" w:fill="auto"/>
            <w:vAlign w:val="center"/>
          </w:tcPr>
          <w:p w14:paraId="40E4B866" w14:textId="77777777" w:rsidR="00565294" w:rsidRPr="00DC4B64"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DC4B64">
              <w:rPr>
                <w:rFonts w:ascii="Times New Roman" w:hAnsi="Times New Roman" w:cs="Times New Roman"/>
                <w:color w:val="000000"/>
                <w:sz w:val="22"/>
              </w:rPr>
              <w:t>99.</w:t>
            </w:r>
            <w:r>
              <w:rPr>
                <w:rFonts w:ascii="Times New Roman" w:hAnsi="Times New Roman" w:cs="Times New Roman"/>
                <w:color w:val="000000"/>
                <w:sz w:val="22"/>
              </w:rPr>
              <w:t>9</w:t>
            </w:r>
          </w:p>
        </w:tc>
      </w:tr>
      <w:tr w:rsidR="00565294" w:rsidRPr="00E95B6F" w14:paraId="6EDC2E72" w14:textId="77777777" w:rsidTr="005047AD">
        <w:trPr>
          <w:trHeight w:val="432"/>
          <w:jc w:val="center"/>
        </w:trPr>
        <w:tc>
          <w:tcPr>
            <w:tcW w:w="494" w:type="dxa"/>
            <w:vMerge/>
            <w:shd w:val="clear" w:color="auto" w:fill="auto"/>
            <w:vAlign w:val="center"/>
          </w:tcPr>
          <w:p w14:paraId="397E0DC0" w14:textId="77777777" w:rsidR="00565294" w:rsidRPr="00E95B6F" w:rsidRDefault="00565294" w:rsidP="005047AD">
            <w:pPr>
              <w:spacing w:line="300" w:lineRule="exact"/>
              <w:ind w:leftChars="-20" w:left="-42" w:rightChars="-20" w:right="-42"/>
              <w:jc w:val="center"/>
              <w:rPr>
                <w:rFonts w:ascii="Times New Roman" w:eastAsia="仿宋_GB2312" w:hAnsi="Times New Roman" w:cs="Times New Roman"/>
                <w:bCs/>
                <w:kern w:val="44"/>
                <w:sz w:val="22"/>
              </w:rPr>
            </w:pPr>
          </w:p>
        </w:tc>
        <w:tc>
          <w:tcPr>
            <w:tcW w:w="473" w:type="dxa"/>
            <w:shd w:val="clear" w:color="auto" w:fill="auto"/>
            <w:vAlign w:val="center"/>
          </w:tcPr>
          <w:p w14:paraId="33E25BAA" w14:textId="77777777" w:rsidR="00565294" w:rsidRPr="00E95B6F" w:rsidRDefault="00565294" w:rsidP="005047AD">
            <w:pPr>
              <w:spacing w:line="26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工业</w:t>
            </w:r>
          </w:p>
        </w:tc>
        <w:tc>
          <w:tcPr>
            <w:tcW w:w="576" w:type="dxa"/>
            <w:shd w:val="clear" w:color="auto" w:fill="auto"/>
            <w:vAlign w:val="center"/>
          </w:tcPr>
          <w:p w14:paraId="0DE3453A"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100 </w:t>
            </w:r>
          </w:p>
        </w:tc>
        <w:tc>
          <w:tcPr>
            <w:tcW w:w="646" w:type="dxa"/>
            <w:shd w:val="clear" w:color="auto" w:fill="auto"/>
            <w:vAlign w:val="center"/>
          </w:tcPr>
          <w:p w14:paraId="62E38BF3"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100 </w:t>
            </w:r>
          </w:p>
        </w:tc>
        <w:tc>
          <w:tcPr>
            <w:tcW w:w="598" w:type="dxa"/>
            <w:shd w:val="clear" w:color="auto" w:fill="auto"/>
            <w:vAlign w:val="center"/>
          </w:tcPr>
          <w:p w14:paraId="4E7CC6DD"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100</w:t>
            </w:r>
          </w:p>
        </w:tc>
        <w:tc>
          <w:tcPr>
            <w:tcW w:w="583" w:type="dxa"/>
            <w:shd w:val="clear" w:color="auto" w:fill="auto"/>
            <w:vAlign w:val="center"/>
          </w:tcPr>
          <w:p w14:paraId="23E5E11B"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w:t>
            </w:r>
          </w:p>
        </w:tc>
        <w:tc>
          <w:tcPr>
            <w:tcW w:w="580" w:type="dxa"/>
            <w:shd w:val="clear" w:color="auto" w:fill="auto"/>
            <w:vAlign w:val="center"/>
          </w:tcPr>
          <w:p w14:paraId="44F993F6"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w:t>
            </w:r>
            <w:r w:rsidRPr="00687B93">
              <w:rPr>
                <w:rFonts w:ascii="Times New Roman" w:eastAsia="幼圆" w:hAnsi="Times New Roman" w:cs="Times New Roman" w:hint="eastAsia"/>
                <w:bCs/>
                <w:kern w:val="44"/>
                <w:szCs w:val="21"/>
              </w:rPr>
              <w:t xml:space="preserve"> </w:t>
            </w:r>
          </w:p>
        </w:tc>
        <w:tc>
          <w:tcPr>
            <w:tcW w:w="586" w:type="dxa"/>
            <w:shd w:val="clear" w:color="auto" w:fill="auto"/>
            <w:vAlign w:val="center"/>
          </w:tcPr>
          <w:p w14:paraId="35AE2553"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100 </w:t>
            </w:r>
          </w:p>
        </w:tc>
        <w:tc>
          <w:tcPr>
            <w:tcW w:w="624" w:type="dxa"/>
            <w:shd w:val="clear" w:color="auto" w:fill="auto"/>
            <w:vAlign w:val="center"/>
          </w:tcPr>
          <w:p w14:paraId="74DABCA3"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100 </w:t>
            </w:r>
          </w:p>
        </w:tc>
        <w:tc>
          <w:tcPr>
            <w:tcW w:w="679" w:type="dxa"/>
            <w:shd w:val="clear" w:color="auto" w:fill="auto"/>
            <w:vAlign w:val="center"/>
          </w:tcPr>
          <w:p w14:paraId="0683B11B"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100 </w:t>
            </w:r>
          </w:p>
        </w:tc>
        <w:tc>
          <w:tcPr>
            <w:tcW w:w="680" w:type="dxa"/>
            <w:shd w:val="clear" w:color="auto" w:fill="auto"/>
            <w:vAlign w:val="center"/>
          </w:tcPr>
          <w:p w14:paraId="052DFDE7"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100 </w:t>
            </w:r>
          </w:p>
        </w:tc>
        <w:tc>
          <w:tcPr>
            <w:tcW w:w="578" w:type="dxa"/>
            <w:shd w:val="clear" w:color="auto" w:fill="auto"/>
            <w:vAlign w:val="center"/>
          </w:tcPr>
          <w:p w14:paraId="50723705" w14:textId="77777777" w:rsidR="00565294" w:rsidRPr="00687B93"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100</w:t>
            </w:r>
          </w:p>
        </w:tc>
        <w:tc>
          <w:tcPr>
            <w:tcW w:w="575" w:type="dxa"/>
            <w:vAlign w:val="center"/>
          </w:tcPr>
          <w:p w14:paraId="48B5AC2F" w14:textId="77777777" w:rsidR="00565294" w:rsidRPr="00DC4B64"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DC4B64">
              <w:rPr>
                <w:rFonts w:ascii="Times New Roman" w:eastAsia="幼圆" w:hAnsi="Times New Roman" w:cs="Times New Roman" w:hint="eastAsia"/>
                <w:bCs/>
                <w:kern w:val="44"/>
                <w:szCs w:val="21"/>
              </w:rPr>
              <w:t>/</w:t>
            </w:r>
          </w:p>
        </w:tc>
        <w:tc>
          <w:tcPr>
            <w:tcW w:w="575" w:type="dxa"/>
            <w:shd w:val="clear" w:color="auto" w:fill="auto"/>
            <w:vAlign w:val="center"/>
          </w:tcPr>
          <w:p w14:paraId="7C9B5A17" w14:textId="77777777" w:rsidR="00565294" w:rsidRPr="00DC4B64" w:rsidRDefault="00565294" w:rsidP="005047AD">
            <w:pPr>
              <w:spacing w:line="300" w:lineRule="exact"/>
              <w:ind w:leftChars="-50" w:left="-105" w:rightChars="-50" w:right="-105"/>
              <w:jc w:val="center"/>
              <w:rPr>
                <w:rFonts w:ascii="Times New Roman" w:eastAsia="幼圆" w:hAnsi="Times New Roman" w:cs="Times New Roman"/>
                <w:bCs/>
                <w:kern w:val="44"/>
                <w:szCs w:val="21"/>
              </w:rPr>
            </w:pPr>
            <w:r w:rsidRPr="00DC4B64">
              <w:rPr>
                <w:rFonts w:ascii="Times New Roman" w:hAnsi="Times New Roman" w:cs="Times New Roman"/>
                <w:sz w:val="22"/>
              </w:rPr>
              <w:t>100</w:t>
            </w:r>
          </w:p>
        </w:tc>
      </w:tr>
    </w:tbl>
    <w:p w14:paraId="0FEEC2A1" w14:textId="77777777" w:rsidR="00565294" w:rsidRPr="00F70D6C" w:rsidRDefault="00565294" w:rsidP="00565294">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hint="eastAsia"/>
          <w:bCs/>
          <w:kern w:val="44"/>
          <w:sz w:val="28"/>
          <w:szCs w:val="28"/>
        </w:rPr>
        <w:t>与上年相比，全省污水处理厂总体达标率上升了</w:t>
      </w:r>
      <w:r w:rsidRPr="00F70D6C">
        <w:rPr>
          <w:rFonts w:ascii="Times New Roman" w:eastAsia="仿宋_GB2312" w:hAnsi="Times New Roman" w:cs="Times New Roman"/>
          <w:bCs/>
          <w:kern w:val="44"/>
          <w:sz w:val="28"/>
          <w:szCs w:val="28"/>
        </w:rPr>
        <w:t>0.</w:t>
      </w:r>
      <w:r>
        <w:rPr>
          <w:rFonts w:ascii="Times New Roman" w:eastAsia="仿宋_GB2312" w:hAnsi="Times New Roman" w:cs="Times New Roman"/>
          <w:bCs/>
          <w:kern w:val="44"/>
          <w:sz w:val="28"/>
          <w:szCs w:val="28"/>
        </w:rPr>
        <w:t>2</w:t>
      </w:r>
      <w:r w:rsidRPr="00F70D6C">
        <w:rPr>
          <w:rFonts w:ascii="Times New Roman" w:eastAsia="仿宋_GB2312" w:hAnsi="Times New Roman" w:cs="Times New Roman" w:hint="eastAsia"/>
          <w:bCs/>
          <w:kern w:val="44"/>
          <w:sz w:val="28"/>
          <w:szCs w:val="28"/>
        </w:rPr>
        <w:t>个百分点，其中城镇上升了</w:t>
      </w:r>
      <w:r w:rsidRPr="00F70D6C">
        <w:rPr>
          <w:rFonts w:ascii="Times New Roman" w:eastAsia="仿宋_GB2312" w:hAnsi="Times New Roman" w:cs="Times New Roman"/>
          <w:bCs/>
          <w:kern w:val="44"/>
          <w:sz w:val="28"/>
          <w:szCs w:val="28"/>
        </w:rPr>
        <w:t>0.</w:t>
      </w:r>
      <w:r>
        <w:rPr>
          <w:rFonts w:ascii="Times New Roman" w:eastAsia="仿宋_GB2312" w:hAnsi="Times New Roman" w:cs="Times New Roman"/>
          <w:bCs/>
          <w:kern w:val="44"/>
          <w:sz w:val="28"/>
          <w:szCs w:val="28"/>
        </w:rPr>
        <w:t>2</w:t>
      </w:r>
      <w:r>
        <w:rPr>
          <w:rFonts w:ascii="Times New Roman" w:eastAsia="仿宋_GB2312" w:hAnsi="Times New Roman" w:cs="Times New Roman" w:hint="eastAsia"/>
          <w:bCs/>
          <w:kern w:val="44"/>
          <w:sz w:val="28"/>
          <w:szCs w:val="28"/>
        </w:rPr>
        <w:t>个百分点，工业</w:t>
      </w:r>
      <w:r w:rsidRPr="00F70D6C">
        <w:rPr>
          <w:rFonts w:ascii="Times New Roman" w:eastAsia="仿宋_GB2312" w:hAnsi="Times New Roman" w:cs="Times New Roman" w:hint="eastAsia"/>
          <w:bCs/>
          <w:kern w:val="44"/>
          <w:sz w:val="28"/>
          <w:szCs w:val="28"/>
        </w:rPr>
        <w:t>保持不变。</w:t>
      </w:r>
    </w:p>
    <w:p w14:paraId="55AD4DAA" w14:textId="77777777" w:rsidR="00565294" w:rsidRPr="00F70D6C" w:rsidRDefault="00565294" w:rsidP="00565294">
      <w:pPr>
        <w:spacing w:line="560" w:lineRule="exact"/>
        <w:ind w:firstLineChars="200" w:firstLine="560"/>
        <w:rPr>
          <w:rFonts w:ascii="Times New Roman" w:eastAsia="仿宋_GB2312" w:hAnsi="Times New Roman" w:cs="Times New Roman"/>
          <w:bCs/>
          <w:kern w:val="44"/>
          <w:sz w:val="28"/>
          <w:szCs w:val="28"/>
        </w:rPr>
      </w:pPr>
      <w:r w:rsidRPr="00F71286">
        <w:rPr>
          <w:rFonts w:ascii="Times New Roman" w:eastAsia="仿宋_GB2312" w:hAnsi="Times New Roman" w:cs="Times New Roman" w:hint="eastAsia"/>
          <w:bCs/>
          <w:noProof/>
          <w:kern w:val="44"/>
          <w:sz w:val="28"/>
          <w:szCs w:val="28"/>
        </w:rPr>
        <w:t>各设区市中，</w:t>
      </w:r>
      <w:r>
        <w:rPr>
          <w:rFonts w:ascii="Times New Roman" w:eastAsia="仿宋_GB2312" w:hAnsi="Times New Roman" w:cs="Times New Roman" w:hint="eastAsia"/>
          <w:bCs/>
          <w:noProof/>
          <w:kern w:val="44"/>
          <w:sz w:val="28"/>
          <w:szCs w:val="28"/>
        </w:rPr>
        <w:t>嘉兴</w:t>
      </w:r>
      <w:r w:rsidRPr="00F71286">
        <w:rPr>
          <w:rFonts w:ascii="Times New Roman" w:eastAsia="仿宋_GB2312" w:hAnsi="Times New Roman" w:cs="Times New Roman" w:hint="eastAsia"/>
          <w:bCs/>
          <w:noProof/>
          <w:kern w:val="44"/>
          <w:sz w:val="28"/>
          <w:szCs w:val="28"/>
        </w:rPr>
        <w:t>和</w:t>
      </w:r>
      <w:r>
        <w:rPr>
          <w:rFonts w:ascii="Times New Roman" w:eastAsia="仿宋_GB2312" w:hAnsi="Times New Roman" w:cs="Times New Roman" w:hint="eastAsia"/>
          <w:bCs/>
          <w:noProof/>
          <w:kern w:val="44"/>
          <w:sz w:val="28"/>
          <w:szCs w:val="28"/>
        </w:rPr>
        <w:t>湖州</w:t>
      </w:r>
      <w:r w:rsidRPr="00F71286">
        <w:rPr>
          <w:rFonts w:ascii="Times New Roman" w:eastAsia="仿宋_GB2312" w:hAnsi="Times New Roman" w:cs="Times New Roman" w:hint="eastAsia"/>
          <w:bCs/>
          <w:noProof/>
          <w:kern w:val="44"/>
          <w:sz w:val="28"/>
          <w:szCs w:val="28"/>
        </w:rPr>
        <w:t>达标率</w:t>
      </w:r>
      <w:r>
        <w:rPr>
          <w:rFonts w:ascii="Times New Roman" w:eastAsia="仿宋_GB2312" w:hAnsi="Times New Roman" w:cs="Times New Roman" w:hint="eastAsia"/>
          <w:bCs/>
          <w:noProof/>
          <w:kern w:val="44"/>
          <w:sz w:val="28"/>
          <w:szCs w:val="28"/>
        </w:rPr>
        <w:t>分别上升</w:t>
      </w:r>
      <w:r>
        <w:rPr>
          <w:rFonts w:ascii="Times New Roman" w:eastAsia="仿宋_GB2312" w:hAnsi="Times New Roman" w:cs="Times New Roman"/>
          <w:bCs/>
          <w:noProof/>
          <w:kern w:val="44"/>
          <w:sz w:val="28"/>
          <w:szCs w:val="28"/>
        </w:rPr>
        <w:t>1.4</w:t>
      </w:r>
      <w:r w:rsidRPr="00F71286">
        <w:rPr>
          <w:rFonts w:ascii="Times New Roman" w:eastAsia="仿宋_GB2312" w:hAnsi="Times New Roman" w:cs="Times New Roman" w:hint="eastAsia"/>
          <w:bCs/>
          <w:noProof/>
          <w:kern w:val="44"/>
          <w:sz w:val="28"/>
          <w:szCs w:val="28"/>
        </w:rPr>
        <w:t>和</w:t>
      </w:r>
      <w:r>
        <w:rPr>
          <w:rFonts w:ascii="Times New Roman" w:eastAsia="仿宋_GB2312" w:hAnsi="Times New Roman" w:cs="Times New Roman"/>
          <w:bCs/>
          <w:noProof/>
          <w:kern w:val="44"/>
          <w:sz w:val="28"/>
          <w:szCs w:val="28"/>
        </w:rPr>
        <w:t>1.3</w:t>
      </w:r>
      <w:r w:rsidRPr="00F71286">
        <w:rPr>
          <w:rFonts w:ascii="Times New Roman" w:eastAsia="仿宋_GB2312" w:hAnsi="Times New Roman" w:cs="Times New Roman" w:hint="eastAsia"/>
          <w:bCs/>
          <w:noProof/>
          <w:kern w:val="44"/>
          <w:sz w:val="28"/>
          <w:szCs w:val="28"/>
        </w:rPr>
        <w:t>个百分点；</w:t>
      </w:r>
      <w:r>
        <w:rPr>
          <w:rFonts w:ascii="Times New Roman" w:eastAsia="仿宋_GB2312" w:hAnsi="Times New Roman" w:cs="Times New Roman" w:hint="eastAsia"/>
          <w:bCs/>
          <w:noProof/>
          <w:kern w:val="44"/>
          <w:sz w:val="28"/>
          <w:szCs w:val="28"/>
        </w:rPr>
        <w:t>温州达标率下降</w:t>
      </w:r>
      <w:r>
        <w:rPr>
          <w:rFonts w:ascii="Times New Roman" w:eastAsia="仿宋_GB2312" w:hAnsi="Times New Roman" w:cs="Times New Roman"/>
          <w:bCs/>
          <w:noProof/>
          <w:kern w:val="44"/>
          <w:sz w:val="28"/>
          <w:szCs w:val="28"/>
        </w:rPr>
        <w:t>0.9</w:t>
      </w:r>
      <w:r>
        <w:rPr>
          <w:rFonts w:ascii="Times New Roman" w:eastAsia="仿宋_GB2312" w:hAnsi="Times New Roman" w:cs="Times New Roman" w:hint="eastAsia"/>
          <w:bCs/>
          <w:noProof/>
          <w:kern w:val="44"/>
          <w:sz w:val="28"/>
          <w:szCs w:val="28"/>
        </w:rPr>
        <w:t>个百分点；其余各市均持平</w:t>
      </w:r>
      <w:r w:rsidRPr="00F70D6C">
        <w:rPr>
          <w:rFonts w:ascii="Times New Roman" w:eastAsia="仿宋_GB2312" w:hAnsi="Times New Roman" w:cs="Times New Roman" w:hint="eastAsia"/>
          <w:bCs/>
          <w:kern w:val="44"/>
          <w:sz w:val="28"/>
          <w:szCs w:val="28"/>
        </w:rPr>
        <w:t>。</w:t>
      </w:r>
    </w:p>
    <w:p w14:paraId="74894EEB" w14:textId="40398A10" w:rsidR="00565294" w:rsidRDefault="00F66E48" w:rsidP="00565294">
      <w:pPr>
        <w:ind w:firstLineChars="200" w:firstLine="420"/>
        <w:jc w:val="left"/>
        <w:rPr>
          <w:rFonts w:ascii="Times New Roman" w:eastAsia="仿宋_GB2312" w:hAnsi="Times New Roman" w:cs="Times New Roman"/>
          <w:bCs/>
          <w:kern w:val="44"/>
          <w:sz w:val="28"/>
          <w:szCs w:val="28"/>
        </w:rPr>
      </w:pPr>
      <w:r>
        <w:rPr>
          <w:noProof/>
        </w:rPr>
        <w:drawing>
          <wp:inline distT="0" distB="0" distL="0" distR="0" wp14:anchorId="7A7251B0" wp14:editId="721D9410">
            <wp:extent cx="4819650" cy="2638425"/>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A5773E" w14:textId="77777777" w:rsidR="00565294" w:rsidRPr="008C1A45" w:rsidRDefault="00565294" w:rsidP="00565294">
      <w:pPr>
        <w:spacing w:line="520" w:lineRule="exact"/>
        <w:jc w:val="center"/>
        <w:rPr>
          <w:rFonts w:ascii="仿宋_GB2312" w:eastAsia="仿宋_GB2312" w:hAnsi="华文楷体"/>
          <w:b/>
          <w:bCs/>
          <w:kern w:val="44"/>
          <w:sz w:val="24"/>
          <w:szCs w:val="24"/>
        </w:rPr>
      </w:pPr>
      <w:r>
        <w:rPr>
          <w:rFonts w:ascii="仿宋_GB2312" w:eastAsia="仿宋_GB2312" w:hAnsi="华文楷体" w:hint="eastAsia"/>
          <w:b/>
          <w:bCs/>
          <w:kern w:val="44"/>
          <w:sz w:val="24"/>
          <w:szCs w:val="24"/>
        </w:rPr>
        <w:t xml:space="preserve"> </w:t>
      </w:r>
      <w:r>
        <w:rPr>
          <w:rFonts w:ascii="仿宋_GB2312" w:eastAsia="仿宋_GB2312" w:hAnsi="华文楷体"/>
          <w:b/>
          <w:bCs/>
          <w:kern w:val="44"/>
          <w:sz w:val="24"/>
          <w:szCs w:val="24"/>
        </w:rPr>
        <w:t xml:space="preserve">    </w:t>
      </w:r>
      <w:r w:rsidRPr="005C3A4E">
        <w:rPr>
          <w:rFonts w:ascii="仿宋_GB2312" w:eastAsia="仿宋_GB2312" w:hAnsi="华文楷体" w:hint="eastAsia"/>
          <w:b/>
          <w:bCs/>
          <w:kern w:val="44"/>
          <w:sz w:val="24"/>
          <w:szCs w:val="24"/>
        </w:rPr>
        <w:t>图</w:t>
      </w:r>
      <w:r>
        <w:rPr>
          <w:rFonts w:ascii="Times New Roman" w:eastAsia="仿宋_GB2312" w:hAnsi="Times New Roman" w:cs="Times New Roman"/>
          <w:b/>
          <w:bCs/>
          <w:kern w:val="44"/>
          <w:sz w:val="24"/>
          <w:szCs w:val="24"/>
        </w:rPr>
        <w:t>7</w:t>
      </w:r>
      <w:r w:rsidRPr="005C3A4E">
        <w:rPr>
          <w:rFonts w:ascii="仿宋_GB2312" w:eastAsia="仿宋_GB2312" w:hAnsi="华文楷体" w:hint="eastAsia"/>
          <w:b/>
          <w:bCs/>
          <w:kern w:val="44"/>
          <w:sz w:val="24"/>
          <w:szCs w:val="24"/>
        </w:rPr>
        <w:t xml:space="preserve">  </w:t>
      </w:r>
      <w:r>
        <w:rPr>
          <w:rFonts w:ascii="仿宋_GB2312" w:eastAsia="仿宋_GB2312" w:hAnsi="华文楷体"/>
          <w:b/>
          <w:bCs/>
          <w:kern w:val="44"/>
          <w:sz w:val="24"/>
          <w:szCs w:val="24"/>
        </w:rPr>
        <w:t xml:space="preserve">  </w:t>
      </w:r>
      <w:r w:rsidRPr="005C3A4E">
        <w:rPr>
          <w:rFonts w:ascii="仿宋_GB2312" w:eastAsia="仿宋_GB2312" w:hAnsi="华文楷体" w:hint="eastAsia"/>
          <w:b/>
          <w:bCs/>
          <w:kern w:val="44"/>
          <w:sz w:val="24"/>
          <w:szCs w:val="24"/>
        </w:rPr>
        <w:t>污水</w:t>
      </w:r>
      <w:r>
        <w:rPr>
          <w:rFonts w:ascii="仿宋_GB2312" w:eastAsia="仿宋_GB2312" w:hAnsi="华文楷体" w:hint="eastAsia"/>
          <w:b/>
          <w:bCs/>
          <w:kern w:val="44"/>
          <w:sz w:val="24"/>
          <w:szCs w:val="24"/>
        </w:rPr>
        <w:t>处理</w:t>
      </w:r>
      <w:r w:rsidRPr="005C3A4E">
        <w:rPr>
          <w:rFonts w:ascii="仿宋_GB2312" w:eastAsia="仿宋_GB2312" w:hAnsi="华文楷体" w:hint="eastAsia"/>
          <w:b/>
          <w:bCs/>
          <w:kern w:val="44"/>
          <w:sz w:val="24"/>
          <w:szCs w:val="24"/>
        </w:rPr>
        <w:t>厂</w:t>
      </w:r>
      <w:r>
        <w:rPr>
          <w:rFonts w:ascii="仿宋_GB2312" w:eastAsia="仿宋_GB2312" w:hAnsi="华文楷体" w:hint="eastAsia"/>
          <w:b/>
          <w:bCs/>
          <w:kern w:val="44"/>
          <w:sz w:val="24"/>
          <w:szCs w:val="24"/>
        </w:rPr>
        <w:t>分区域</w:t>
      </w:r>
      <w:r w:rsidRPr="005C3A4E">
        <w:rPr>
          <w:rFonts w:ascii="仿宋_GB2312" w:eastAsia="仿宋_GB2312" w:hAnsi="华文楷体" w:hint="eastAsia"/>
          <w:b/>
          <w:bCs/>
          <w:kern w:val="44"/>
          <w:sz w:val="24"/>
          <w:szCs w:val="24"/>
        </w:rPr>
        <w:t>达标率变化情况</w:t>
      </w:r>
      <w:r>
        <w:rPr>
          <w:rFonts w:ascii="仿宋_GB2312" w:eastAsia="仿宋_GB2312" w:hAnsi="华文楷体" w:hint="eastAsia"/>
          <w:b/>
          <w:bCs/>
          <w:kern w:val="44"/>
          <w:sz w:val="24"/>
          <w:szCs w:val="24"/>
        </w:rPr>
        <w:t>（按变化百分点排序）</w:t>
      </w:r>
    </w:p>
    <w:p w14:paraId="2701E8DC" w14:textId="77777777" w:rsidR="00201497" w:rsidRDefault="00201497" w:rsidP="00201497">
      <w:pPr>
        <w:spacing w:line="560" w:lineRule="exact"/>
        <w:ind w:firstLineChars="200" w:firstLine="560"/>
        <w:rPr>
          <w:rFonts w:ascii="Times New Roman" w:eastAsia="仿宋_GB2312" w:hAnsi="Times New Roman" w:cs="Times New Roman"/>
          <w:bCs/>
          <w:kern w:val="44"/>
          <w:sz w:val="28"/>
          <w:szCs w:val="28"/>
        </w:rPr>
      </w:pPr>
    </w:p>
    <w:p w14:paraId="2C112E3E" w14:textId="77777777" w:rsidR="00201497" w:rsidRDefault="00201497" w:rsidP="00201497">
      <w:pPr>
        <w:spacing w:line="560" w:lineRule="exact"/>
        <w:ind w:firstLineChars="200" w:firstLine="560"/>
        <w:rPr>
          <w:rFonts w:ascii="Times New Roman" w:eastAsia="仿宋_GB2312" w:hAnsi="Times New Roman" w:cs="Times New Roman"/>
          <w:bCs/>
          <w:kern w:val="44"/>
          <w:sz w:val="28"/>
          <w:szCs w:val="28"/>
        </w:rPr>
      </w:pPr>
    </w:p>
    <w:p w14:paraId="37EC2116" w14:textId="77777777" w:rsidR="00201497" w:rsidRDefault="00201497" w:rsidP="00201497">
      <w:pPr>
        <w:spacing w:line="560" w:lineRule="exact"/>
        <w:ind w:firstLineChars="200" w:firstLine="560"/>
        <w:rPr>
          <w:rFonts w:ascii="Times New Roman" w:eastAsia="仿宋_GB2312" w:hAnsi="Times New Roman" w:cs="Times New Roman"/>
          <w:bCs/>
          <w:kern w:val="44"/>
          <w:sz w:val="28"/>
          <w:szCs w:val="28"/>
        </w:rPr>
      </w:pPr>
    </w:p>
    <w:p w14:paraId="424B5321" w14:textId="23E009B9" w:rsidR="00201497" w:rsidRDefault="00565294" w:rsidP="00201497">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lastRenderedPageBreak/>
        <w:t>3</w:t>
      </w:r>
      <w:r w:rsidRPr="00F70D6C">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超标分析</w:t>
      </w:r>
    </w:p>
    <w:p w14:paraId="150ED8BF" w14:textId="37E58846" w:rsidR="00565294" w:rsidRPr="00E95B6F" w:rsidRDefault="002514F3" w:rsidP="00201497">
      <w:pPr>
        <w:spacing w:line="560" w:lineRule="exact"/>
        <w:ind w:firstLineChars="200" w:firstLine="420"/>
        <w:rPr>
          <w:rFonts w:ascii="Times New Roman" w:eastAsia="仿宋_GB2312" w:hAnsi="Times New Roman" w:cs="Times New Roman"/>
          <w:bCs/>
          <w:kern w:val="44"/>
          <w:sz w:val="28"/>
          <w:szCs w:val="28"/>
        </w:rPr>
      </w:pPr>
      <w:r>
        <w:rPr>
          <w:noProof/>
        </w:rPr>
        <w:drawing>
          <wp:anchor distT="0" distB="0" distL="114300" distR="114300" simplePos="0" relativeHeight="251712512" behindDoc="0" locked="0" layoutInCell="1" allowOverlap="1" wp14:anchorId="3D99DF55" wp14:editId="0417FE41">
            <wp:simplePos x="0" y="0"/>
            <wp:positionH relativeFrom="margin">
              <wp:align>center</wp:align>
            </wp:positionH>
            <wp:positionV relativeFrom="paragraph">
              <wp:posOffset>1568450</wp:posOffset>
            </wp:positionV>
            <wp:extent cx="5019675" cy="2457450"/>
            <wp:effectExtent l="0" t="0" r="0" b="0"/>
            <wp:wrapTopAndBottom/>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565294" w:rsidRPr="00E95B6F">
        <w:rPr>
          <w:rFonts w:ascii="Times New Roman" w:eastAsia="仿宋_GB2312" w:hAnsi="Times New Roman" w:cs="Times New Roman"/>
          <w:bCs/>
          <w:kern w:val="44"/>
          <w:sz w:val="28"/>
          <w:szCs w:val="28"/>
        </w:rPr>
        <w:t>存在超标的污水处理厂共</w:t>
      </w:r>
      <w:r w:rsidR="00565294">
        <w:rPr>
          <w:rFonts w:ascii="Times New Roman" w:eastAsia="仿宋_GB2312" w:hAnsi="Times New Roman" w:cs="Times New Roman"/>
          <w:bCs/>
          <w:kern w:val="44"/>
          <w:sz w:val="28"/>
          <w:szCs w:val="28"/>
        </w:rPr>
        <w:t>5</w:t>
      </w:r>
      <w:r w:rsidR="00565294" w:rsidRPr="00E95B6F">
        <w:rPr>
          <w:rFonts w:ascii="Times New Roman" w:eastAsia="仿宋_GB2312" w:hAnsi="Times New Roman" w:cs="Times New Roman"/>
          <w:bCs/>
          <w:kern w:val="44"/>
          <w:sz w:val="28"/>
          <w:szCs w:val="28"/>
        </w:rPr>
        <w:t>家，</w:t>
      </w:r>
      <w:r w:rsidR="00565294">
        <w:rPr>
          <w:rFonts w:ascii="Times New Roman" w:eastAsia="仿宋_GB2312" w:hAnsi="Times New Roman" w:cs="Times New Roman" w:hint="eastAsia"/>
          <w:bCs/>
          <w:kern w:val="44"/>
          <w:sz w:val="28"/>
          <w:szCs w:val="28"/>
        </w:rPr>
        <w:t>均位于温州，</w:t>
      </w:r>
      <w:r w:rsidR="00565294" w:rsidRPr="00E95B6F">
        <w:rPr>
          <w:rFonts w:ascii="Times New Roman" w:eastAsia="仿宋_GB2312" w:hAnsi="Times New Roman" w:cs="Times New Roman"/>
          <w:bCs/>
          <w:kern w:val="44"/>
          <w:sz w:val="28"/>
          <w:szCs w:val="28"/>
        </w:rPr>
        <w:t>超标水量共计</w:t>
      </w:r>
      <w:r w:rsidR="00565294">
        <w:rPr>
          <w:rFonts w:ascii="Times New Roman" w:eastAsia="仿宋_GB2312" w:hAnsi="Times New Roman" w:cs="Times New Roman"/>
          <w:bCs/>
          <w:kern w:val="44"/>
          <w:sz w:val="28"/>
          <w:szCs w:val="28"/>
        </w:rPr>
        <w:t>1.75</w:t>
      </w:r>
      <w:r w:rsidR="00565294" w:rsidRPr="00E95B6F">
        <w:rPr>
          <w:rFonts w:ascii="Times New Roman" w:eastAsia="仿宋_GB2312" w:hAnsi="Times New Roman" w:cs="Times New Roman"/>
          <w:bCs/>
          <w:kern w:val="44"/>
          <w:sz w:val="28"/>
          <w:szCs w:val="28"/>
        </w:rPr>
        <w:t>万吨</w:t>
      </w:r>
      <w:r w:rsidR="00565294" w:rsidRPr="00E95B6F">
        <w:rPr>
          <w:rFonts w:ascii="Times New Roman" w:eastAsia="仿宋_GB2312" w:hAnsi="Times New Roman" w:cs="Times New Roman"/>
          <w:bCs/>
          <w:kern w:val="44"/>
          <w:sz w:val="28"/>
          <w:szCs w:val="28"/>
        </w:rPr>
        <w:t>/</w:t>
      </w:r>
      <w:r w:rsidR="00565294">
        <w:rPr>
          <w:rFonts w:ascii="Times New Roman" w:eastAsia="仿宋_GB2312" w:hAnsi="Times New Roman" w:cs="Times New Roman"/>
          <w:bCs/>
          <w:kern w:val="44"/>
          <w:sz w:val="28"/>
          <w:szCs w:val="28"/>
        </w:rPr>
        <w:t>日</w:t>
      </w:r>
      <w:r w:rsidR="00565294">
        <w:rPr>
          <w:rFonts w:ascii="Times New Roman" w:eastAsia="仿宋_GB2312" w:hAnsi="Times New Roman" w:cs="Times New Roman" w:hint="eastAsia"/>
          <w:bCs/>
          <w:kern w:val="44"/>
          <w:sz w:val="28"/>
          <w:szCs w:val="28"/>
        </w:rPr>
        <w:t>。</w:t>
      </w:r>
      <w:r w:rsidR="00565294">
        <w:rPr>
          <w:rFonts w:ascii="Times New Roman" w:eastAsia="仿宋_GB2312" w:hAnsi="Times New Roman" w:cs="Times New Roman"/>
          <w:bCs/>
          <w:kern w:val="44"/>
          <w:sz w:val="28"/>
          <w:szCs w:val="28"/>
        </w:rPr>
        <w:t>开展监测的</w:t>
      </w:r>
      <w:r w:rsidR="00565294" w:rsidRPr="00E95B6F">
        <w:rPr>
          <w:rFonts w:ascii="Times New Roman" w:eastAsia="仿宋_GB2312" w:hAnsi="Times New Roman" w:cs="Times New Roman"/>
          <w:bCs/>
          <w:kern w:val="44"/>
          <w:sz w:val="28"/>
          <w:szCs w:val="28"/>
        </w:rPr>
        <w:t>指标中，有</w:t>
      </w:r>
      <w:r w:rsidR="00565294">
        <w:rPr>
          <w:rFonts w:ascii="Times New Roman" w:eastAsia="仿宋_GB2312" w:hAnsi="Times New Roman" w:cs="Times New Roman"/>
          <w:bCs/>
          <w:kern w:val="44"/>
          <w:sz w:val="28"/>
          <w:szCs w:val="28"/>
        </w:rPr>
        <w:t>3</w:t>
      </w:r>
      <w:r w:rsidR="00565294" w:rsidRPr="00E95B6F">
        <w:rPr>
          <w:rFonts w:ascii="Times New Roman" w:eastAsia="仿宋_GB2312" w:hAnsi="Times New Roman" w:cs="Times New Roman"/>
          <w:bCs/>
          <w:kern w:val="44"/>
          <w:sz w:val="28"/>
          <w:szCs w:val="28"/>
        </w:rPr>
        <w:t>项指标存在超标</w:t>
      </w:r>
      <w:r w:rsidR="00565294">
        <w:rPr>
          <w:rFonts w:ascii="Times New Roman" w:eastAsia="仿宋_GB2312" w:hAnsi="Times New Roman" w:cs="Times New Roman" w:hint="eastAsia"/>
          <w:bCs/>
          <w:kern w:val="44"/>
          <w:sz w:val="28"/>
          <w:szCs w:val="28"/>
        </w:rPr>
        <w:t>情况</w:t>
      </w:r>
      <w:r w:rsidR="00565294" w:rsidRPr="00E95B6F">
        <w:rPr>
          <w:rFonts w:ascii="Times New Roman" w:eastAsia="仿宋_GB2312" w:hAnsi="Times New Roman" w:cs="Times New Roman"/>
          <w:bCs/>
          <w:kern w:val="44"/>
          <w:sz w:val="28"/>
          <w:szCs w:val="28"/>
        </w:rPr>
        <w:t>，其中</w:t>
      </w:r>
      <w:r w:rsidR="00565294">
        <w:rPr>
          <w:rFonts w:ascii="Times New Roman" w:eastAsia="仿宋_GB2312" w:hAnsi="Times New Roman" w:cs="Times New Roman" w:hint="eastAsia"/>
          <w:bCs/>
          <w:kern w:val="44"/>
          <w:sz w:val="28"/>
          <w:szCs w:val="28"/>
        </w:rPr>
        <w:t>粪大肠菌群数</w:t>
      </w:r>
      <w:r w:rsidR="00565294" w:rsidRPr="00E95B6F">
        <w:rPr>
          <w:rFonts w:ascii="Times New Roman" w:eastAsia="仿宋_GB2312" w:hAnsi="Times New Roman" w:cs="Times New Roman"/>
          <w:bCs/>
          <w:kern w:val="44"/>
          <w:sz w:val="28"/>
          <w:szCs w:val="28"/>
        </w:rPr>
        <w:t>为首要超标指标，涉超标水量</w:t>
      </w:r>
      <w:r w:rsidR="00565294">
        <w:rPr>
          <w:rFonts w:ascii="Times New Roman" w:eastAsia="仿宋_GB2312" w:hAnsi="Times New Roman" w:cs="Times New Roman"/>
          <w:bCs/>
          <w:kern w:val="44"/>
          <w:sz w:val="28"/>
          <w:szCs w:val="28"/>
        </w:rPr>
        <w:t>0.8</w:t>
      </w:r>
      <w:r w:rsidR="008F2F85">
        <w:rPr>
          <w:rFonts w:ascii="Times New Roman" w:eastAsia="仿宋_GB2312" w:hAnsi="Times New Roman" w:cs="Times New Roman"/>
          <w:bCs/>
          <w:kern w:val="44"/>
          <w:sz w:val="28"/>
          <w:szCs w:val="28"/>
        </w:rPr>
        <w:t>0</w:t>
      </w:r>
      <w:r w:rsidR="00565294" w:rsidRPr="00E95B6F">
        <w:rPr>
          <w:rFonts w:ascii="Times New Roman" w:eastAsia="仿宋_GB2312" w:hAnsi="Times New Roman" w:cs="Times New Roman"/>
          <w:bCs/>
          <w:kern w:val="44"/>
          <w:sz w:val="28"/>
          <w:szCs w:val="28"/>
        </w:rPr>
        <w:t>万吨</w:t>
      </w:r>
      <w:r w:rsidR="00565294" w:rsidRPr="00E95B6F">
        <w:rPr>
          <w:rFonts w:ascii="Times New Roman" w:eastAsia="仿宋_GB2312" w:hAnsi="Times New Roman" w:cs="Times New Roman"/>
          <w:bCs/>
          <w:kern w:val="44"/>
          <w:sz w:val="28"/>
          <w:szCs w:val="28"/>
        </w:rPr>
        <w:t>/</w:t>
      </w:r>
      <w:r w:rsidR="00565294" w:rsidRPr="00E95B6F">
        <w:rPr>
          <w:rFonts w:ascii="Times New Roman" w:eastAsia="仿宋_GB2312" w:hAnsi="Times New Roman" w:cs="Times New Roman"/>
          <w:bCs/>
          <w:kern w:val="44"/>
          <w:sz w:val="28"/>
          <w:szCs w:val="28"/>
        </w:rPr>
        <w:t>日，涉超标污水处理厂</w:t>
      </w:r>
      <w:r w:rsidR="00565294">
        <w:rPr>
          <w:rFonts w:ascii="Times New Roman" w:eastAsia="仿宋_GB2312" w:hAnsi="Times New Roman" w:cs="Times New Roman"/>
          <w:bCs/>
          <w:kern w:val="44"/>
          <w:sz w:val="28"/>
          <w:szCs w:val="28"/>
        </w:rPr>
        <w:t>3</w:t>
      </w:r>
      <w:r w:rsidR="00565294" w:rsidRPr="00E95B6F">
        <w:rPr>
          <w:rFonts w:ascii="Times New Roman" w:eastAsia="仿宋_GB2312" w:hAnsi="Times New Roman" w:cs="Times New Roman"/>
          <w:bCs/>
          <w:kern w:val="44"/>
          <w:sz w:val="28"/>
          <w:szCs w:val="28"/>
        </w:rPr>
        <w:t>家；其余超标指标按超标水量排序依次为</w:t>
      </w:r>
      <w:r w:rsidR="00565294">
        <w:rPr>
          <w:rFonts w:ascii="Times New Roman" w:eastAsia="仿宋_GB2312" w:hAnsi="Times New Roman" w:cs="Times New Roman" w:hint="eastAsia"/>
          <w:bCs/>
          <w:kern w:val="44"/>
          <w:sz w:val="28"/>
          <w:szCs w:val="28"/>
        </w:rPr>
        <w:t>总磷和氨氮。</w:t>
      </w:r>
    </w:p>
    <w:p w14:paraId="4118EF7F" w14:textId="70B03C8F" w:rsidR="00565294" w:rsidRPr="00E95B6F" w:rsidRDefault="00565294" w:rsidP="00565294">
      <w:pPr>
        <w:spacing w:line="520" w:lineRule="exact"/>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Pr>
          <w:rFonts w:ascii="Times New Roman" w:eastAsia="仿宋_GB2312" w:hAnsi="Times New Roman" w:cs="Times New Roman"/>
          <w:b/>
          <w:bCs/>
          <w:kern w:val="44"/>
          <w:sz w:val="24"/>
          <w:szCs w:val="24"/>
        </w:rPr>
        <w:t>8</w:t>
      </w:r>
      <w:r w:rsidRPr="00E95B6F">
        <w:rPr>
          <w:rFonts w:ascii="Times New Roman" w:eastAsia="仿宋_GB2312" w:hAnsi="Times New Roman" w:cs="Times New Roman"/>
          <w:b/>
          <w:bCs/>
          <w:kern w:val="44"/>
          <w:sz w:val="24"/>
          <w:szCs w:val="24"/>
        </w:rPr>
        <w:t xml:space="preserve">  </w:t>
      </w:r>
      <w:r>
        <w:rPr>
          <w:rFonts w:ascii="Times New Roman" w:eastAsia="仿宋_GB2312" w:hAnsi="Times New Roman" w:cs="Times New Roman"/>
          <w:b/>
          <w:bCs/>
          <w:kern w:val="44"/>
          <w:sz w:val="24"/>
          <w:szCs w:val="24"/>
        </w:rPr>
        <w:t xml:space="preserve">  </w:t>
      </w:r>
      <w:r w:rsidRPr="00E95B6F">
        <w:rPr>
          <w:rFonts w:ascii="Times New Roman" w:eastAsia="仿宋_GB2312" w:hAnsi="Times New Roman" w:cs="Times New Roman"/>
          <w:b/>
          <w:bCs/>
          <w:kern w:val="44"/>
          <w:sz w:val="24"/>
          <w:szCs w:val="24"/>
        </w:rPr>
        <w:t>污水处理厂</w:t>
      </w:r>
      <w:r>
        <w:rPr>
          <w:rFonts w:ascii="Times New Roman" w:eastAsia="仿宋_GB2312" w:hAnsi="Times New Roman" w:cs="Times New Roman" w:hint="eastAsia"/>
          <w:b/>
          <w:bCs/>
          <w:kern w:val="44"/>
          <w:sz w:val="24"/>
          <w:szCs w:val="24"/>
        </w:rPr>
        <w:t>分</w:t>
      </w:r>
      <w:r w:rsidRPr="00E95B6F">
        <w:rPr>
          <w:rFonts w:ascii="Times New Roman" w:eastAsia="仿宋_GB2312" w:hAnsi="Times New Roman" w:cs="Times New Roman"/>
          <w:b/>
          <w:bCs/>
          <w:kern w:val="44"/>
          <w:sz w:val="24"/>
          <w:szCs w:val="24"/>
        </w:rPr>
        <w:t>指标</w:t>
      </w:r>
      <w:r>
        <w:rPr>
          <w:rFonts w:ascii="Times New Roman" w:eastAsia="仿宋_GB2312" w:hAnsi="Times New Roman" w:cs="Times New Roman" w:hint="eastAsia"/>
          <w:b/>
          <w:bCs/>
          <w:kern w:val="44"/>
          <w:sz w:val="24"/>
          <w:szCs w:val="24"/>
        </w:rPr>
        <w:t>超标情况</w:t>
      </w:r>
    </w:p>
    <w:p w14:paraId="284B4639" w14:textId="334844DE" w:rsidR="00D76911" w:rsidRPr="001B765A" w:rsidRDefault="006A7CB9" w:rsidP="001B765A">
      <w:pPr>
        <w:spacing w:beforeLines="20" w:before="62" w:afterLines="20" w:after="62" w:line="560" w:lineRule="exact"/>
        <w:ind w:firstLineChars="200" w:firstLine="562"/>
        <w:outlineLvl w:val="1"/>
        <w:rPr>
          <w:rFonts w:ascii="仿宋" w:eastAsia="仿宋" w:hAnsi="仿宋" w:cs="Times New Roman"/>
          <w:b/>
          <w:bCs/>
          <w:kern w:val="44"/>
          <w:sz w:val="28"/>
          <w:szCs w:val="28"/>
        </w:rPr>
      </w:pPr>
      <w:r w:rsidRPr="001B765A">
        <w:rPr>
          <w:rFonts w:ascii="仿宋" w:eastAsia="仿宋" w:hAnsi="仿宋" w:cs="Times New Roman" w:hint="eastAsia"/>
          <w:b/>
          <w:bCs/>
          <w:kern w:val="44"/>
          <w:sz w:val="28"/>
          <w:szCs w:val="28"/>
        </w:rPr>
        <w:t>（</w:t>
      </w:r>
      <w:r w:rsidR="00317502" w:rsidRPr="001B765A">
        <w:rPr>
          <w:rFonts w:ascii="仿宋" w:eastAsia="仿宋" w:hAnsi="仿宋" w:cs="Times New Roman" w:hint="eastAsia"/>
          <w:b/>
          <w:bCs/>
          <w:kern w:val="44"/>
          <w:sz w:val="28"/>
          <w:szCs w:val="28"/>
        </w:rPr>
        <w:t>三</w:t>
      </w:r>
      <w:r w:rsidRPr="001B765A">
        <w:rPr>
          <w:rFonts w:ascii="仿宋" w:eastAsia="仿宋" w:hAnsi="仿宋" w:cs="Times New Roman" w:hint="eastAsia"/>
          <w:b/>
          <w:bCs/>
          <w:kern w:val="44"/>
          <w:sz w:val="28"/>
          <w:szCs w:val="28"/>
        </w:rPr>
        <w:t>）</w:t>
      </w:r>
      <w:r w:rsidR="00B35FF4">
        <w:rPr>
          <w:rFonts w:ascii="仿宋" w:eastAsia="仿宋" w:hAnsi="仿宋" w:cs="Times New Roman" w:hint="eastAsia"/>
          <w:b/>
          <w:bCs/>
          <w:kern w:val="44"/>
          <w:sz w:val="28"/>
          <w:szCs w:val="28"/>
        </w:rPr>
        <w:t>废气排污单位</w:t>
      </w:r>
      <w:bookmarkEnd w:id="4"/>
    </w:p>
    <w:p w14:paraId="6AD1B8FE" w14:textId="04223208" w:rsidR="00DF4D68" w:rsidRPr="00317502" w:rsidRDefault="006A7CB9" w:rsidP="00F70D6C">
      <w:pPr>
        <w:spacing w:line="560" w:lineRule="exact"/>
        <w:ind w:firstLineChars="200" w:firstLine="560"/>
        <w:rPr>
          <w:rFonts w:ascii="Times New Roman" w:eastAsia="仿宋_GB2312" w:hAnsi="Times New Roman" w:cs="Times New Roman"/>
          <w:bCs/>
          <w:kern w:val="44"/>
          <w:sz w:val="28"/>
          <w:szCs w:val="28"/>
        </w:rPr>
      </w:pPr>
      <w:r w:rsidRPr="00317502">
        <w:rPr>
          <w:rFonts w:ascii="Times New Roman" w:eastAsia="仿宋_GB2312" w:hAnsi="Times New Roman" w:cs="Times New Roman" w:hint="eastAsia"/>
          <w:bCs/>
          <w:kern w:val="44"/>
          <w:sz w:val="28"/>
          <w:szCs w:val="28"/>
        </w:rPr>
        <w:t>1</w:t>
      </w:r>
      <w:r w:rsidR="00317502">
        <w:rPr>
          <w:rFonts w:ascii="Times New Roman" w:eastAsia="仿宋_GB2312" w:hAnsi="Times New Roman" w:cs="Times New Roman" w:hint="eastAsia"/>
          <w:bCs/>
          <w:kern w:val="44"/>
          <w:sz w:val="28"/>
          <w:szCs w:val="28"/>
        </w:rPr>
        <w:t>.</w:t>
      </w:r>
      <w:r w:rsidR="005360AF" w:rsidRPr="00317502">
        <w:rPr>
          <w:rFonts w:ascii="Times New Roman" w:eastAsia="仿宋_GB2312" w:hAnsi="Times New Roman" w:cs="Times New Roman"/>
          <w:bCs/>
          <w:kern w:val="44"/>
          <w:sz w:val="28"/>
          <w:szCs w:val="28"/>
        </w:rPr>
        <w:t>有组织</w:t>
      </w:r>
      <w:r w:rsidR="00880DDA">
        <w:rPr>
          <w:rFonts w:ascii="Times New Roman" w:eastAsia="仿宋_GB2312" w:hAnsi="Times New Roman" w:cs="Times New Roman" w:hint="eastAsia"/>
          <w:bCs/>
          <w:kern w:val="44"/>
          <w:sz w:val="28"/>
          <w:szCs w:val="28"/>
        </w:rPr>
        <w:t>排放</w:t>
      </w:r>
      <w:r w:rsidR="007339FA" w:rsidRPr="00317502">
        <w:rPr>
          <w:rFonts w:ascii="Times New Roman" w:eastAsia="仿宋_GB2312" w:hAnsi="Times New Roman" w:cs="Times New Roman"/>
          <w:bCs/>
          <w:kern w:val="44"/>
          <w:sz w:val="28"/>
          <w:szCs w:val="28"/>
        </w:rPr>
        <w:t>监测情况</w:t>
      </w:r>
    </w:p>
    <w:p w14:paraId="071FE475" w14:textId="1439DB10" w:rsidR="00C85002" w:rsidRPr="00396C88" w:rsidRDefault="004A7F0A" w:rsidP="00C85002">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全省</w:t>
      </w:r>
      <w:r w:rsidR="009F06A6">
        <w:rPr>
          <w:rFonts w:ascii="Times New Roman" w:eastAsia="仿宋_GB2312" w:hAnsi="Times New Roman" w:cs="Times New Roman" w:hint="eastAsia"/>
          <w:bCs/>
          <w:kern w:val="44"/>
          <w:sz w:val="28"/>
          <w:szCs w:val="28"/>
        </w:rPr>
        <w:t>共对</w:t>
      </w:r>
      <w:r w:rsidR="009F06A6">
        <w:rPr>
          <w:rFonts w:ascii="Times New Roman" w:eastAsia="仿宋_GB2312" w:hAnsi="Times New Roman" w:cs="Times New Roman"/>
          <w:bCs/>
          <w:kern w:val="44"/>
          <w:sz w:val="28"/>
          <w:szCs w:val="28"/>
        </w:rPr>
        <w:t>1</w:t>
      </w:r>
      <w:r w:rsidR="00555EC1">
        <w:rPr>
          <w:rFonts w:ascii="Times New Roman" w:eastAsia="仿宋_GB2312" w:hAnsi="Times New Roman" w:cs="Times New Roman"/>
          <w:bCs/>
          <w:kern w:val="44"/>
          <w:sz w:val="28"/>
          <w:szCs w:val="28"/>
        </w:rPr>
        <w:t>394</w:t>
      </w:r>
      <w:r w:rsidR="009F06A6" w:rsidRPr="00E95B6F">
        <w:rPr>
          <w:rFonts w:ascii="Times New Roman" w:eastAsia="仿宋_GB2312" w:hAnsi="Times New Roman" w:cs="Times New Roman"/>
          <w:bCs/>
          <w:kern w:val="44"/>
          <w:sz w:val="28"/>
          <w:szCs w:val="28"/>
        </w:rPr>
        <w:t>家</w:t>
      </w:r>
      <w:r w:rsidR="007C7B99" w:rsidRPr="00E95B6F">
        <w:rPr>
          <w:rFonts w:ascii="Times New Roman" w:eastAsia="仿宋_GB2312" w:hAnsi="Times New Roman" w:cs="Times New Roman"/>
          <w:bCs/>
          <w:kern w:val="44"/>
          <w:sz w:val="28"/>
          <w:szCs w:val="28"/>
        </w:rPr>
        <w:t>废气</w:t>
      </w:r>
      <w:r w:rsidR="009F06A6">
        <w:rPr>
          <w:rFonts w:ascii="Times New Roman" w:eastAsia="仿宋_GB2312" w:hAnsi="Times New Roman" w:cs="Times New Roman" w:hint="eastAsia"/>
          <w:bCs/>
          <w:kern w:val="44"/>
          <w:sz w:val="28"/>
          <w:szCs w:val="28"/>
        </w:rPr>
        <w:t>排污单位开展了</w:t>
      </w:r>
      <w:r w:rsidR="005360AF" w:rsidRPr="00E95B6F">
        <w:rPr>
          <w:rFonts w:ascii="Times New Roman" w:eastAsia="仿宋_GB2312" w:hAnsi="Times New Roman" w:cs="Times New Roman"/>
          <w:bCs/>
          <w:kern w:val="44"/>
          <w:sz w:val="28"/>
          <w:szCs w:val="28"/>
        </w:rPr>
        <w:t>有组织排放监测</w:t>
      </w:r>
      <w:r w:rsidR="00182A74"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总体达标率为</w:t>
      </w:r>
      <w:r w:rsidR="00CC795A">
        <w:rPr>
          <w:rFonts w:ascii="Times New Roman" w:eastAsia="仿宋_GB2312" w:hAnsi="Times New Roman" w:cs="Times New Roman"/>
          <w:bCs/>
          <w:kern w:val="44"/>
          <w:sz w:val="28"/>
          <w:szCs w:val="28"/>
        </w:rPr>
        <w:t>99.</w:t>
      </w:r>
      <w:r w:rsidR="00555EC1">
        <w:rPr>
          <w:rFonts w:ascii="Times New Roman" w:eastAsia="仿宋_GB2312" w:hAnsi="Times New Roman" w:cs="Times New Roman"/>
          <w:bCs/>
          <w:kern w:val="44"/>
          <w:sz w:val="28"/>
          <w:szCs w:val="28"/>
        </w:rPr>
        <w:t>7</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。各设区市达标率范围为</w:t>
      </w:r>
      <w:r w:rsidR="005360AF" w:rsidRPr="00E95B6F">
        <w:rPr>
          <w:rFonts w:ascii="Times New Roman" w:eastAsia="仿宋_GB2312" w:hAnsi="Times New Roman" w:cs="Times New Roman"/>
          <w:bCs/>
          <w:kern w:val="44"/>
          <w:sz w:val="28"/>
          <w:szCs w:val="28"/>
        </w:rPr>
        <w:t>9</w:t>
      </w:r>
      <w:r w:rsidR="00555EC1">
        <w:rPr>
          <w:rFonts w:ascii="Times New Roman" w:eastAsia="仿宋_GB2312" w:hAnsi="Times New Roman" w:cs="Times New Roman"/>
          <w:bCs/>
          <w:kern w:val="44"/>
          <w:sz w:val="28"/>
          <w:szCs w:val="28"/>
        </w:rPr>
        <w:t>8.5</w:t>
      </w:r>
      <w:r w:rsidR="00742733">
        <w:rPr>
          <w:rFonts w:ascii="Times New Roman" w:eastAsia="仿宋_GB2312" w:hAnsi="Times New Roman" w:cs="Times New Roman"/>
          <w:bCs/>
          <w:kern w:val="44"/>
          <w:sz w:val="28"/>
          <w:szCs w:val="28"/>
        </w:rPr>
        <w:t>%</w:t>
      </w:r>
      <w:r w:rsidR="005360AF"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100%</w:t>
      </w:r>
      <w:r w:rsidR="005651A0">
        <w:rPr>
          <w:rFonts w:ascii="Times New Roman" w:eastAsia="仿宋_GB2312" w:hAnsi="Times New Roman" w:cs="Times New Roman" w:hint="eastAsia"/>
          <w:bCs/>
          <w:kern w:val="44"/>
          <w:sz w:val="28"/>
          <w:szCs w:val="28"/>
        </w:rPr>
        <w:t>，其中</w:t>
      </w:r>
      <w:r w:rsidR="00555EC1">
        <w:rPr>
          <w:rFonts w:ascii="Times New Roman" w:eastAsia="仿宋_GB2312" w:hAnsi="Times New Roman" w:cs="Times New Roman" w:hint="eastAsia"/>
          <w:bCs/>
          <w:kern w:val="44"/>
          <w:sz w:val="28"/>
          <w:szCs w:val="28"/>
        </w:rPr>
        <w:t>衢州</w:t>
      </w:r>
      <w:r w:rsidR="00555EC1">
        <w:rPr>
          <w:rFonts w:ascii="Times New Roman" w:eastAsia="仿宋_GB2312" w:hAnsi="Times New Roman" w:cs="Times New Roman"/>
          <w:bCs/>
          <w:kern w:val="44"/>
          <w:sz w:val="28"/>
          <w:szCs w:val="28"/>
        </w:rPr>
        <w:t>98.5</w:t>
      </w:r>
      <w:r w:rsidR="005651A0">
        <w:rPr>
          <w:rFonts w:ascii="Times New Roman" w:eastAsia="仿宋_GB2312" w:hAnsi="Times New Roman" w:cs="Times New Roman"/>
          <w:bCs/>
          <w:kern w:val="44"/>
          <w:sz w:val="28"/>
          <w:szCs w:val="28"/>
        </w:rPr>
        <w:t>%</w:t>
      </w:r>
      <w:r w:rsidR="005651A0">
        <w:rPr>
          <w:rFonts w:ascii="Times New Roman" w:eastAsia="仿宋_GB2312" w:hAnsi="Times New Roman" w:cs="Times New Roman" w:hint="eastAsia"/>
          <w:bCs/>
          <w:kern w:val="44"/>
          <w:sz w:val="28"/>
          <w:szCs w:val="28"/>
        </w:rPr>
        <w:t>，宁波、</w:t>
      </w:r>
      <w:r w:rsidR="000F4B9F">
        <w:rPr>
          <w:rFonts w:ascii="Times New Roman" w:eastAsia="仿宋_GB2312" w:hAnsi="Times New Roman" w:cs="Times New Roman" w:hint="eastAsia"/>
          <w:bCs/>
          <w:kern w:val="44"/>
          <w:sz w:val="28"/>
          <w:szCs w:val="28"/>
        </w:rPr>
        <w:t>温州、</w:t>
      </w:r>
      <w:r w:rsidR="00555EC1">
        <w:rPr>
          <w:rFonts w:ascii="Times New Roman" w:eastAsia="仿宋_GB2312" w:hAnsi="Times New Roman" w:cs="Times New Roman" w:hint="eastAsia"/>
          <w:bCs/>
          <w:kern w:val="44"/>
          <w:sz w:val="28"/>
          <w:szCs w:val="28"/>
        </w:rPr>
        <w:t>嘉兴、绍兴、</w:t>
      </w:r>
      <w:r w:rsidR="000F4B9F">
        <w:rPr>
          <w:rFonts w:ascii="Times New Roman" w:eastAsia="仿宋_GB2312" w:hAnsi="Times New Roman" w:cs="Times New Roman" w:hint="eastAsia"/>
          <w:bCs/>
          <w:kern w:val="44"/>
          <w:sz w:val="28"/>
          <w:szCs w:val="28"/>
        </w:rPr>
        <w:t>金华</w:t>
      </w:r>
      <w:r w:rsidR="00555EC1">
        <w:rPr>
          <w:rFonts w:ascii="Times New Roman" w:eastAsia="仿宋_GB2312" w:hAnsi="Times New Roman" w:cs="Times New Roman" w:hint="eastAsia"/>
          <w:bCs/>
          <w:kern w:val="44"/>
          <w:sz w:val="28"/>
          <w:szCs w:val="28"/>
        </w:rPr>
        <w:t>、舟山</w:t>
      </w:r>
      <w:r w:rsidR="000F4B9F">
        <w:rPr>
          <w:rFonts w:ascii="Times New Roman" w:eastAsia="仿宋_GB2312" w:hAnsi="Times New Roman" w:cs="Times New Roman" w:hint="eastAsia"/>
          <w:bCs/>
          <w:kern w:val="44"/>
          <w:sz w:val="28"/>
          <w:szCs w:val="28"/>
        </w:rPr>
        <w:t>和丽水</w:t>
      </w:r>
      <w:r w:rsidR="005651A0">
        <w:rPr>
          <w:rFonts w:ascii="Times New Roman" w:eastAsia="仿宋_GB2312" w:hAnsi="Times New Roman" w:cs="Times New Roman" w:hint="eastAsia"/>
          <w:bCs/>
          <w:kern w:val="44"/>
          <w:sz w:val="28"/>
          <w:szCs w:val="28"/>
        </w:rPr>
        <w:t>并列</w:t>
      </w:r>
      <w:r w:rsidR="005651A0">
        <w:rPr>
          <w:rFonts w:ascii="Times New Roman" w:eastAsia="仿宋_GB2312" w:hAnsi="Times New Roman" w:cs="Times New Roman" w:hint="eastAsia"/>
          <w:bCs/>
          <w:kern w:val="44"/>
          <w:sz w:val="28"/>
          <w:szCs w:val="28"/>
        </w:rPr>
        <w:t>1</w:t>
      </w:r>
      <w:r w:rsidR="005651A0">
        <w:rPr>
          <w:rFonts w:ascii="Times New Roman" w:eastAsia="仿宋_GB2312" w:hAnsi="Times New Roman" w:cs="Times New Roman"/>
          <w:bCs/>
          <w:kern w:val="44"/>
          <w:sz w:val="28"/>
          <w:szCs w:val="28"/>
        </w:rPr>
        <w:t>00%</w:t>
      </w:r>
      <w:r w:rsidR="001E00B1" w:rsidRPr="00E95B6F">
        <w:rPr>
          <w:rFonts w:ascii="Times New Roman" w:eastAsia="仿宋_GB2312" w:hAnsi="Times New Roman" w:cs="Times New Roman"/>
          <w:bCs/>
          <w:kern w:val="44"/>
          <w:sz w:val="28"/>
          <w:szCs w:val="28"/>
        </w:rPr>
        <w:t>。</w:t>
      </w:r>
      <w:r w:rsidRPr="00396C88">
        <w:rPr>
          <w:rFonts w:ascii="Times New Roman" w:eastAsia="仿宋_GB2312" w:hAnsi="Times New Roman" w:cs="Times New Roman"/>
          <w:bCs/>
          <w:kern w:val="44"/>
          <w:sz w:val="28"/>
          <w:szCs w:val="28"/>
        </w:rPr>
        <w:t>涉及</w:t>
      </w:r>
      <w:r w:rsidR="009C71E8">
        <w:rPr>
          <w:rFonts w:ascii="Times New Roman" w:eastAsia="仿宋_GB2312" w:hAnsi="Times New Roman" w:cs="Times New Roman"/>
          <w:bCs/>
          <w:kern w:val="44"/>
          <w:sz w:val="28"/>
          <w:szCs w:val="28"/>
        </w:rPr>
        <w:t>38</w:t>
      </w:r>
      <w:r w:rsidRPr="00396C88">
        <w:rPr>
          <w:rFonts w:ascii="Times New Roman" w:eastAsia="仿宋_GB2312" w:hAnsi="Times New Roman" w:cs="Times New Roman"/>
          <w:bCs/>
          <w:kern w:val="44"/>
          <w:sz w:val="28"/>
          <w:szCs w:val="28"/>
        </w:rPr>
        <w:t>个行业大类</w:t>
      </w:r>
      <w:r w:rsidR="000C23B9" w:rsidRPr="00396C88">
        <w:rPr>
          <w:rFonts w:ascii="Times New Roman" w:eastAsia="仿宋_GB2312" w:hAnsi="Times New Roman" w:cs="Times New Roman"/>
          <w:bCs/>
          <w:kern w:val="44"/>
          <w:sz w:val="28"/>
          <w:szCs w:val="28"/>
        </w:rPr>
        <w:t>，</w:t>
      </w:r>
      <w:r w:rsidRPr="00396C88">
        <w:rPr>
          <w:rFonts w:ascii="Times New Roman" w:eastAsia="仿宋_GB2312" w:hAnsi="Times New Roman" w:cs="Times New Roman"/>
          <w:bCs/>
          <w:kern w:val="44"/>
          <w:sz w:val="28"/>
          <w:szCs w:val="28"/>
        </w:rPr>
        <w:t>达标率范围为</w:t>
      </w:r>
      <w:r w:rsidR="009B5DA3" w:rsidRPr="00396C88">
        <w:rPr>
          <w:rFonts w:ascii="Times New Roman" w:eastAsia="仿宋_GB2312" w:hAnsi="Times New Roman" w:cs="Times New Roman"/>
          <w:bCs/>
          <w:kern w:val="44"/>
          <w:sz w:val="28"/>
          <w:szCs w:val="28"/>
        </w:rPr>
        <w:t>9</w:t>
      </w:r>
      <w:r w:rsidR="009C71E8">
        <w:rPr>
          <w:rFonts w:ascii="Times New Roman" w:eastAsia="仿宋_GB2312" w:hAnsi="Times New Roman" w:cs="Times New Roman"/>
          <w:bCs/>
          <w:kern w:val="44"/>
          <w:sz w:val="28"/>
          <w:szCs w:val="28"/>
        </w:rPr>
        <w:t>8.1</w:t>
      </w:r>
      <w:r w:rsidR="00742733" w:rsidRPr="00396C88">
        <w:rPr>
          <w:rFonts w:ascii="Times New Roman" w:eastAsia="仿宋_GB2312" w:hAnsi="Times New Roman" w:cs="Times New Roman"/>
          <w:bCs/>
          <w:kern w:val="44"/>
          <w:sz w:val="28"/>
          <w:szCs w:val="28"/>
        </w:rPr>
        <w:t>%</w:t>
      </w:r>
      <w:r w:rsidR="009B5DA3" w:rsidRPr="00396C88">
        <w:rPr>
          <w:rFonts w:ascii="Times New Roman" w:eastAsia="仿宋_GB2312" w:hAnsi="Times New Roman" w:cs="Times New Roman"/>
          <w:bCs/>
          <w:kern w:val="44"/>
          <w:sz w:val="28"/>
          <w:szCs w:val="28"/>
        </w:rPr>
        <w:t>-</w:t>
      </w:r>
      <w:r w:rsidRPr="00396C88">
        <w:rPr>
          <w:rFonts w:ascii="Times New Roman" w:eastAsia="仿宋_GB2312" w:hAnsi="Times New Roman" w:cs="Times New Roman"/>
          <w:bCs/>
          <w:kern w:val="44"/>
          <w:sz w:val="28"/>
          <w:szCs w:val="28"/>
        </w:rPr>
        <w:t>100%</w:t>
      </w:r>
      <w:r w:rsidRPr="00396C88">
        <w:rPr>
          <w:rFonts w:ascii="Times New Roman" w:eastAsia="仿宋_GB2312" w:hAnsi="Times New Roman" w:cs="Times New Roman"/>
          <w:bCs/>
          <w:kern w:val="44"/>
          <w:sz w:val="28"/>
          <w:szCs w:val="28"/>
        </w:rPr>
        <w:t>。</w:t>
      </w:r>
      <w:r w:rsidR="00CE499C">
        <w:rPr>
          <w:rFonts w:ascii="Times New Roman" w:eastAsia="仿宋_GB2312" w:hAnsi="Times New Roman" w:cs="Times New Roman" w:hint="eastAsia"/>
          <w:bCs/>
          <w:kern w:val="44"/>
          <w:sz w:val="28"/>
          <w:szCs w:val="28"/>
        </w:rPr>
        <w:t>根据监测企业数占比情况，</w:t>
      </w:r>
      <w:r w:rsidR="00C85002">
        <w:rPr>
          <w:rFonts w:ascii="Times New Roman" w:eastAsia="仿宋_GB2312" w:hAnsi="Times New Roman" w:cs="Times New Roman" w:hint="eastAsia"/>
          <w:bCs/>
          <w:kern w:val="44"/>
          <w:sz w:val="28"/>
          <w:szCs w:val="28"/>
        </w:rPr>
        <w:t>把行业分为主要行业和其他行业。主要行业包括金属制品业、</w:t>
      </w:r>
      <w:r w:rsidR="0035519D" w:rsidRPr="005529F4">
        <w:rPr>
          <w:rFonts w:ascii="Times New Roman" w:eastAsia="仿宋_GB2312" w:hAnsi="Times New Roman" w:cs="Times New Roman" w:hint="eastAsia"/>
          <w:bCs/>
          <w:kern w:val="44"/>
          <w:sz w:val="28"/>
          <w:szCs w:val="28"/>
        </w:rPr>
        <w:t>电力、热力生产和供应业</w:t>
      </w:r>
      <w:r w:rsidR="0035519D">
        <w:rPr>
          <w:rFonts w:ascii="Times New Roman" w:eastAsia="仿宋_GB2312" w:hAnsi="Times New Roman" w:cs="Times New Roman" w:hint="eastAsia"/>
          <w:bCs/>
          <w:kern w:val="44"/>
          <w:sz w:val="28"/>
          <w:szCs w:val="28"/>
        </w:rPr>
        <w:t>、</w:t>
      </w:r>
      <w:r w:rsidR="00C85002">
        <w:rPr>
          <w:rFonts w:ascii="Times New Roman" w:eastAsia="仿宋_GB2312" w:hAnsi="Times New Roman" w:cs="Times New Roman" w:hint="eastAsia"/>
          <w:bCs/>
          <w:kern w:val="44"/>
          <w:sz w:val="28"/>
          <w:szCs w:val="28"/>
        </w:rPr>
        <w:t>化学原料和化学制品制造业等</w:t>
      </w:r>
      <w:r w:rsidR="0035519D">
        <w:rPr>
          <w:rFonts w:ascii="Times New Roman" w:eastAsia="仿宋_GB2312" w:hAnsi="Times New Roman" w:cs="Times New Roman"/>
          <w:bCs/>
          <w:kern w:val="44"/>
          <w:sz w:val="28"/>
          <w:szCs w:val="28"/>
        </w:rPr>
        <w:t>11</w:t>
      </w:r>
      <w:r w:rsidR="00C85002">
        <w:rPr>
          <w:rFonts w:ascii="Times New Roman" w:eastAsia="仿宋_GB2312" w:hAnsi="Times New Roman" w:cs="Times New Roman" w:hint="eastAsia"/>
          <w:bCs/>
          <w:kern w:val="44"/>
          <w:sz w:val="28"/>
          <w:szCs w:val="28"/>
        </w:rPr>
        <w:t>个行业，其他行业包括</w:t>
      </w:r>
      <w:r w:rsidR="0035519D" w:rsidRPr="0035519D">
        <w:rPr>
          <w:rFonts w:ascii="Times New Roman" w:eastAsia="仿宋_GB2312" w:hAnsi="Times New Roman" w:cs="Times New Roman" w:hint="eastAsia"/>
          <w:bCs/>
          <w:kern w:val="44"/>
          <w:sz w:val="28"/>
          <w:szCs w:val="28"/>
        </w:rPr>
        <w:t>皮革、毛皮、羽毛及其制品和制鞋业</w:t>
      </w:r>
      <w:r w:rsidR="00C85002">
        <w:rPr>
          <w:rFonts w:ascii="Times New Roman" w:eastAsia="仿宋_GB2312" w:hAnsi="Times New Roman" w:cs="Times New Roman" w:hint="eastAsia"/>
          <w:bCs/>
          <w:kern w:val="44"/>
          <w:sz w:val="28"/>
          <w:szCs w:val="28"/>
        </w:rPr>
        <w:t>、</w:t>
      </w:r>
      <w:r w:rsidR="00C85002" w:rsidRPr="00F907C7">
        <w:rPr>
          <w:rFonts w:ascii="Times New Roman" w:eastAsia="仿宋_GB2312" w:hAnsi="Times New Roman" w:cs="Times New Roman" w:hint="eastAsia"/>
          <w:bCs/>
          <w:kern w:val="44"/>
          <w:sz w:val="28"/>
          <w:szCs w:val="28"/>
        </w:rPr>
        <w:t>通用设备制造业</w:t>
      </w:r>
      <w:r w:rsidR="0035519D">
        <w:rPr>
          <w:rFonts w:ascii="Times New Roman" w:eastAsia="仿宋_GB2312" w:hAnsi="Times New Roman" w:cs="Times New Roman" w:hint="eastAsia"/>
          <w:bCs/>
          <w:kern w:val="44"/>
          <w:sz w:val="28"/>
          <w:szCs w:val="28"/>
        </w:rPr>
        <w:t>、</w:t>
      </w:r>
      <w:r w:rsidR="0035519D" w:rsidRPr="0035519D">
        <w:rPr>
          <w:rFonts w:ascii="Times New Roman" w:eastAsia="仿宋_GB2312" w:hAnsi="Times New Roman" w:cs="Times New Roman" w:hint="eastAsia"/>
          <w:bCs/>
          <w:kern w:val="44"/>
          <w:sz w:val="28"/>
          <w:szCs w:val="28"/>
        </w:rPr>
        <w:t>水的生产和供应业</w:t>
      </w:r>
      <w:r w:rsidR="00C85002">
        <w:rPr>
          <w:rFonts w:ascii="Times New Roman" w:eastAsia="仿宋_GB2312" w:hAnsi="Times New Roman" w:cs="Times New Roman" w:hint="eastAsia"/>
          <w:bCs/>
          <w:kern w:val="44"/>
          <w:sz w:val="28"/>
          <w:szCs w:val="28"/>
        </w:rPr>
        <w:t>等</w:t>
      </w:r>
      <w:r w:rsidR="0035519D">
        <w:rPr>
          <w:rFonts w:ascii="Times New Roman" w:eastAsia="仿宋_GB2312" w:hAnsi="Times New Roman" w:cs="Times New Roman"/>
          <w:bCs/>
          <w:kern w:val="44"/>
          <w:sz w:val="28"/>
          <w:szCs w:val="28"/>
        </w:rPr>
        <w:t>27</w:t>
      </w:r>
      <w:r w:rsidR="00C85002">
        <w:rPr>
          <w:rFonts w:ascii="Times New Roman" w:eastAsia="仿宋_GB2312" w:hAnsi="Times New Roman" w:cs="Times New Roman" w:hint="eastAsia"/>
          <w:bCs/>
          <w:kern w:val="44"/>
          <w:sz w:val="28"/>
          <w:szCs w:val="28"/>
        </w:rPr>
        <w:t>个行业</w:t>
      </w:r>
      <w:r w:rsidR="00C85002" w:rsidRPr="00396C88">
        <w:rPr>
          <w:rFonts w:ascii="Times New Roman" w:eastAsia="仿宋_GB2312" w:hAnsi="Times New Roman" w:cs="Times New Roman"/>
          <w:bCs/>
          <w:kern w:val="44"/>
          <w:sz w:val="28"/>
          <w:szCs w:val="28"/>
        </w:rPr>
        <w:t>。</w:t>
      </w:r>
    </w:p>
    <w:p w14:paraId="72BF0D1A" w14:textId="77777777" w:rsidR="00CA2D5F" w:rsidRDefault="00CA2D5F" w:rsidP="00630A51">
      <w:pPr>
        <w:spacing w:line="500" w:lineRule="exact"/>
        <w:jc w:val="center"/>
        <w:rPr>
          <w:rFonts w:ascii="Times New Roman" w:eastAsia="仿宋_GB2312" w:hAnsi="Times New Roman" w:cs="Times New Roman"/>
          <w:b/>
          <w:bCs/>
          <w:kern w:val="44"/>
          <w:sz w:val="24"/>
          <w:szCs w:val="24"/>
        </w:rPr>
      </w:pPr>
    </w:p>
    <w:p w14:paraId="0D83C311" w14:textId="01D21011" w:rsidR="001A1C75" w:rsidRPr="00E95B6F" w:rsidRDefault="001A1C75" w:rsidP="00630A51">
      <w:pPr>
        <w:spacing w:line="500" w:lineRule="exact"/>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lastRenderedPageBreak/>
        <w:t>表</w:t>
      </w:r>
      <w:r w:rsidR="008F7D2F" w:rsidRPr="00E95B6F">
        <w:rPr>
          <w:rFonts w:ascii="Times New Roman" w:eastAsia="仿宋_GB2312" w:hAnsi="Times New Roman" w:cs="Times New Roman"/>
          <w:b/>
          <w:bCs/>
          <w:kern w:val="44"/>
          <w:sz w:val="24"/>
          <w:szCs w:val="24"/>
        </w:rPr>
        <w:t>6</w:t>
      </w:r>
      <w:r w:rsidR="008628EC" w:rsidRPr="00E95B6F">
        <w:rPr>
          <w:rFonts w:ascii="Times New Roman" w:eastAsia="仿宋_GB2312" w:hAnsi="Times New Roman" w:cs="Times New Roman"/>
          <w:b/>
          <w:bCs/>
          <w:kern w:val="44"/>
          <w:sz w:val="24"/>
          <w:szCs w:val="24"/>
        </w:rPr>
        <w:t xml:space="preserve"> </w:t>
      </w:r>
      <w:r w:rsidR="009B5938" w:rsidRPr="00E95B6F">
        <w:rPr>
          <w:rFonts w:ascii="Times New Roman" w:eastAsia="仿宋_GB2312" w:hAnsi="Times New Roman" w:cs="Times New Roman"/>
          <w:b/>
          <w:bCs/>
          <w:kern w:val="44"/>
          <w:sz w:val="24"/>
          <w:szCs w:val="24"/>
        </w:rPr>
        <w:t xml:space="preserve">  </w:t>
      </w:r>
      <w:r w:rsidR="00232148" w:rsidRPr="00E95B6F">
        <w:rPr>
          <w:rFonts w:ascii="Times New Roman" w:eastAsia="仿宋_GB2312" w:hAnsi="Times New Roman" w:cs="Times New Roman"/>
          <w:b/>
          <w:bCs/>
          <w:kern w:val="44"/>
          <w:sz w:val="24"/>
          <w:szCs w:val="24"/>
        </w:rPr>
        <w:t xml:space="preserve"> </w:t>
      </w:r>
      <w:r w:rsidR="00486BA0" w:rsidRPr="00E95B6F">
        <w:rPr>
          <w:rFonts w:ascii="Times New Roman" w:eastAsia="仿宋_GB2312" w:hAnsi="Times New Roman" w:cs="Times New Roman"/>
          <w:b/>
          <w:bCs/>
          <w:kern w:val="44"/>
          <w:sz w:val="24"/>
          <w:szCs w:val="24"/>
        </w:rPr>
        <w:t>有组织</w:t>
      </w:r>
      <w:r w:rsidR="00753C93" w:rsidRPr="00E95B6F">
        <w:rPr>
          <w:rFonts w:ascii="Times New Roman" w:eastAsia="仿宋_GB2312" w:hAnsi="Times New Roman" w:cs="Times New Roman"/>
          <w:b/>
          <w:bCs/>
          <w:kern w:val="44"/>
          <w:sz w:val="24"/>
          <w:szCs w:val="24"/>
        </w:rPr>
        <w:t>废气</w:t>
      </w:r>
      <w:r w:rsidR="00B35FF4">
        <w:rPr>
          <w:rFonts w:ascii="Times New Roman" w:eastAsia="仿宋_GB2312" w:hAnsi="Times New Roman" w:cs="Times New Roman" w:hint="eastAsia"/>
          <w:b/>
          <w:bCs/>
          <w:kern w:val="44"/>
          <w:sz w:val="24"/>
          <w:szCs w:val="24"/>
        </w:rPr>
        <w:t>分区域</w:t>
      </w:r>
      <w:r w:rsidR="00E157C4">
        <w:rPr>
          <w:rFonts w:ascii="Times New Roman" w:eastAsia="仿宋_GB2312" w:hAnsi="Times New Roman" w:cs="Times New Roman"/>
          <w:b/>
          <w:bCs/>
          <w:kern w:val="44"/>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622"/>
        <w:gridCol w:w="622"/>
        <w:gridCol w:w="626"/>
        <w:gridCol w:w="622"/>
        <w:gridCol w:w="622"/>
        <w:gridCol w:w="619"/>
        <w:gridCol w:w="622"/>
        <w:gridCol w:w="619"/>
        <w:gridCol w:w="619"/>
        <w:gridCol w:w="619"/>
        <w:gridCol w:w="619"/>
        <w:gridCol w:w="612"/>
      </w:tblGrid>
      <w:tr w:rsidR="00B35FF4" w:rsidRPr="00FB0069" w14:paraId="122D3059" w14:textId="5D6067DB" w:rsidTr="009F06A6">
        <w:trPr>
          <w:trHeight w:val="526"/>
          <w:tblHeader/>
          <w:jc w:val="center"/>
        </w:trPr>
        <w:tc>
          <w:tcPr>
            <w:tcW w:w="514" w:type="pct"/>
            <w:vAlign w:val="center"/>
          </w:tcPr>
          <w:p w14:paraId="3C1FC7C3" w14:textId="7AA08439" w:rsidR="00B35FF4" w:rsidRPr="00FB0069" w:rsidRDefault="00B35FF4" w:rsidP="00B35FF4">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设区市</w:t>
            </w:r>
          </w:p>
        </w:tc>
        <w:tc>
          <w:tcPr>
            <w:tcW w:w="375" w:type="pct"/>
            <w:shd w:val="clear" w:color="auto" w:fill="auto"/>
            <w:vAlign w:val="center"/>
          </w:tcPr>
          <w:p w14:paraId="1C1B3A9E"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杭州</w:t>
            </w:r>
          </w:p>
        </w:tc>
        <w:tc>
          <w:tcPr>
            <w:tcW w:w="375" w:type="pct"/>
            <w:shd w:val="clear" w:color="auto" w:fill="auto"/>
            <w:vAlign w:val="center"/>
          </w:tcPr>
          <w:p w14:paraId="5BA49304"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宁波</w:t>
            </w:r>
          </w:p>
        </w:tc>
        <w:tc>
          <w:tcPr>
            <w:tcW w:w="377" w:type="pct"/>
            <w:shd w:val="clear" w:color="auto" w:fill="auto"/>
            <w:vAlign w:val="center"/>
          </w:tcPr>
          <w:p w14:paraId="53A8F591"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温州</w:t>
            </w:r>
          </w:p>
        </w:tc>
        <w:tc>
          <w:tcPr>
            <w:tcW w:w="375" w:type="pct"/>
            <w:shd w:val="clear" w:color="auto" w:fill="auto"/>
            <w:vAlign w:val="center"/>
          </w:tcPr>
          <w:p w14:paraId="13E191D9" w14:textId="0959B35C"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湖州</w:t>
            </w:r>
          </w:p>
        </w:tc>
        <w:tc>
          <w:tcPr>
            <w:tcW w:w="375" w:type="pct"/>
            <w:shd w:val="clear" w:color="auto" w:fill="auto"/>
            <w:vAlign w:val="center"/>
          </w:tcPr>
          <w:p w14:paraId="4FA4E0F6" w14:textId="1CA1E1A2"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嘉兴</w:t>
            </w:r>
          </w:p>
        </w:tc>
        <w:tc>
          <w:tcPr>
            <w:tcW w:w="373" w:type="pct"/>
            <w:shd w:val="clear" w:color="auto" w:fill="auto"/>
            <w:vAlign w:val="center"/>
          </w:tcPr>
          <w:p w14:paraId="035720E0"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绍兴</w:t>
            </w:r>
          </w:p>
        </w:tc>
        <w:tc>
          <w:tcPr>
            <w:tcW w:w="375" w:type="pct"/>
            <w:shd w:val="clear" w:color="auto" w:fill="auto"/>
            <w:vAlign w:val="center"/>
          </w:tcPr>
          <w:p w14:paraId="4094ED3E"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金华</w:t>
            </w:r>
          </w:p>
        </w:tc>
        <w:tc>
          <w:tcPr>
            <w:tcW w:w="373" w:type="pct"/>
            <w:shd w:val="clear" w:color="auto" w:fill="auto"/>
            <w:vAlign w:val="center"/>
          </w:tcPr>
          <w:p w14:paraId="2C5E4262"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衢州</w:t>
            </w:r>
          </w:p>
        </w:tc>
        <w:tc>
          <w:tcPr>
            <w:tcW w:w="373" w:type="pct"/>
            <w:shd w:val="clear" w:color="auto" w:fill="auto"/>
            <w:vAlign w:val="center"/>
          </w:tcPr>
          <w:p w14:paraId="372581CB"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舟山</w:t>
            </w:r>
          </w:p>
        </w:tc>
        <w:tc>
          <w:tcPr>
            <w:tcW w:w="373" w:type="pct"/>
            <w:shd w:val="clear" w:color="auto" w:fill="auto"/>
            <w:vAlign w:val="center"/>
          </w:tcPr>
          <w:p w14:paraId="34F11A92"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台州</w:t>
            </w:r>
          </w:p>
        </w:tc>
        <w:tc>
          <w:tcPr>
            <w:tcW w:w="373" w:type="pct"/>
            <w:shd w:val="clear" w:color="auto" w:fill="auto"/>
            <w:vAlign w:val="center"/>
          </w:tcPr>
          <w:p w14:paraId="20951401"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丽水</w:t>
            </w:r>
          </w:p>
        </w:tc>
        <w:tc>
          <w:tcPr>
            <w:tcW w:w="369" w:type="pct"/>
            <w:vAlign w:val="center"/>
          </w:tcPr>
          <w:p w14:paraId="567D1400" w14:textId="1EC98BB4" w:rsidR="00B35FF4" w:rsidRPr="00B35FF4"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B35FF4">
              <w:rPr>
                <w:rFonts w:ascii="Times New Roman" w:eastAsia="仿宋_GB2312" w:hAnsi="Times New Roman" w:cs="Times New Roman"/>
                <w:bCs/>
                <w:kern w:val="44"/>
                <w:sz w:val="22"/>
              </w:rPr>
              <w:t>全省</w:t>
            </w:r>
          </w:p>
        </w:tc>
      </w:tr>
      <w:tr w:rsidR="00555EC1" w:rsidRPr="00FB0069" w14:paraId="31D3DA85" w14:textId="17751CDE" w:rsidTr="009F06A6">
        <w:trPr>
          <w:trHeight w:val="321"/>
          <w:jc w:val="center"/>
        </w:trPr>
        <w:tc>
          <w:tcPr>
            <w:tcW w:w="514" w:type="pct"/>
            <w:vAlign w:val="center"/>
          </w:tcPr>
          <w:p w14:paraId="7AFD8520" w14:textId="77777777" w:rsidR="00555EC1" w:rsidRPr="008213AD" w:rsidRDefault="00555EC1" w:rsidP="00555EC1">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5902D006" w14:textId="6AE917BB" w:rsidR="00555EC1" w:rsidRPr="00FB0069" w:rsidRDefault="00555EC1" w:rsidP="00555EC1">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（家）</w:t>
            </w:r>
          </w:p>
        </w:tc>
        <w:tc>
          <w:tcPr>
            <w:tcW w:w="375" w:type="pct"/>
            <w:shd w:val="clear" w:color="auto" w:fill="auto"/>
            <w:vAlign w:val="center"/>
          </w:tcPr>
          <w:p w14:paraId="51BAF85E" w14:textId="06887525"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bCs/>
                <w:color w:val="000000" w:themeColor="text1"/>
                <w:kern w:val="44"/>
                <w:sz w:val="22"/>
              </w:rPr>
              <w:t>231</w:t>
            </w:r>
          </w:p>
        </w:tc>
        <w:tc>
          <w:tcPr>
            <w:tcW w:w="375" w:type="pct"/>
            <w:shd w:val="clear" w:color="auto" w:fill="auto"/>
            <w:vAlign w:val="center"/>
          </w:tcPr>
          <w:p w14:paraId="0CD706F1" w14:textId="3C02BEB8"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bCs/>
                <w:color w:val="000000" w:themeColor="text1"/>
                <w:kern w:val="44"/>
                <w:sz w:val="22"/>
              </w:rPr>
              <w:t>85</w:t>
            </w:r>
          </w:p>
        </w:tc>
        <w:tc>
          <w:tcPr>
            <w:tcW w:w="377" w:type="pct"/>
            <w:shd w:val="clear" w:color="auto" w:fill="auto"/>
            <w:vAlign w:val="center"/>
          </w:tcPr>
          <w:p w14:paraId="30320865" w14:textId="505B6E1D"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bCs/>
                <w:color w:val="000000" w:themeColor="text1"/>
                <w:kern w:val="44"/>
                <w:sz w:val="22"/>
              </w:rPr>
              <w:t>266</w:t>
            </w:r>
          </w:p>
        </w:tc>
        <w:tc>
          <w:tcPr>
            <w:tcW w:w="375" w:type="pct"/>
            <w:shd w:val="clear" w:color="auto" w:fill="auto"/>
            <w:vAlign w:val="center"/>
          </w:tcPr>
          <w:p w14:paraId="0A78D10D" w14:textId="5E9C1D22"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bCs/>
                <w:color w:val="000000" w:themeColor="text1"/>
                <w:kern w:val="44"/>
                <w:sz w:val="22"/>
              </w:rPr>
              <w:t>151</w:t>
            </w:r>
          </w:p>
        </w:tc>
        <w:tc>
          <w:tcPr>
            <w:tcW w:w="375" w:type="pct"/>
            <w:shd w:val="clear" w:color="auto" w:fill="auto"/>
            <w:vAlign w:val="center"/>
          </w:tcPr>
          <w:p w14:paraId="57F8A8B4" w14:textId="26168FF3"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bCs/>
                <w:color w:val="000000" w:themeColor="text1"/>
                <w:kern w:val="44"/>
                <w:sz w:val="22"/>
              </w:rPr>
              <w:t>206</w:t>
            </w:r>
          </w:p>
        </w:tc>
        <w:tc>
          <w:tcPr>
            <w:tcW w:w="373" w:type="pct"/>
            <w:shd w:val="clear" w:color="auto" w:fill="auto"/>
            <w:vAlign w:val="center"/>
          </w:tcPr>
          <w:p w14:paraId="796CD814" w14:textId="4A9D14A6"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bCs/>
                <w:color w:val="000000" w:themeColor="text1"/>
                <w:kern w:val="44"/>
                <w:sz w:val="22"/>
              </w:rPr>
              <w:t>73</w:t>
            </w:r>
          </w:p>
        </w:tc>
        <w:tc>
          <w:tcPr>
            <w:tcW w:w="375" w:type="pct"/>
            <w:shd w:val="clear" w:color="auto" w:fill="auto"/>
            <w:vAlign w:val="center"/>
          </w:tcPr>
          <w:p w14:paraId="5FAA7D89" w14:textId="072E0710"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bCs/>
                <w:color w:val="000000" w:themeColor="text1"/>
                <w:kern w:val="44"/>
                <w:sz w:val="22"/>
              </w:rPr>
              <w:t>87</w:t>
            </w:r>
          </w:p>
        </w:tc>
        <w:tc>
          <w:tcPr>
            <w:tcW w:w="373" w:type="pct"/>
            <w:shd w:val="clear" w:color="auto" w:fill="auto"/>
            <w:vAlign w:val="center"/>
          </w:tcPr>
          <w:p w14:paraId="2A9EDDCB" w14:textId="0BD1B3BA"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bCs/>
                <w:color w:val="000000" w:themeColor="text1"/>
                <w:kern w:val="44"/>
                <w:sz w:val="22"/>
              </w:rPr>
              <w:t>68</w:t>
            </w:r>
          </w:p>
        </w:tc>
        <w:tc>
          <w:tcPr>
            <w:tcW w:w="373" w:type="pct"/>
            <w:shd w:val="clear" w:color="auto" w:fill="auto"/>
            <w:vAlign w:val="center"/>
          </w:tcPr>
          <w:p w14:paraId="2BAF733D" w14:textId="06E8A1EB"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bCs/>
                <w:color w:val="000000" w:themeColor="text1"/>
                <w:kern w:val="44"/>
                <w:sz w:val="22"/>
              </w:rPr>
              <w:t>18</w:t>
            </w:r>
          </w:p>
        </w:tc>
        <w:tc>
          <w:tcPr>
            <w:tcW w:w="373" w:type="pct"/>
            <w:shd w:val="clear" w:color="auto" w:fill="auto"/>
            <w:vAlign w:val="center"/>
          </w:tcPr>
          <w:p w14:paraId="04E4B15F" w14:textId="25986274"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bCs/>
                <w:color w:val="000000" w:themeColor="text1"/>
                <w:kern w:val="44"/>
                <w:sz w:val="22"/>
              </w:rPr>
              <w:t>182</w:t>
            </w:r>
          </w:p>
        </w:tc>
        <w:tc>
          <w:tcPr>
            <w:tcW w:w="373" w:type="pct"/>
            <w:shd w:val="clear" w:color="auto" w:fill="auto"/>
            <w:vAlign w:val="center"/>
          </w:tcPr>
          <w:p w14:paraId="5475448E" w14:textId="6205CAD0"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bCs/>
                <w:color w:val="000000" w:themeColor="text1"/>
                <w:kern w:val="44"/>
                <w:sz w:val="22"/>
              </w:rPr>
              <w:t>27</w:t>
            </w:r>
          </w:p>
        </w:tc>
        <w:tc>
          <w:tcPr>
            <w:tcW w:w="369" w:type="pct"/>
            <w:vAlign w:val="center"/>
          </w:tcPr>
          <w:p w14:paraId="02E13476" w14:textId="27816E07" w:rsidR="00555EC1" w:rsidRPr="00B35FF4"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B35FF4">
              <w:rPr>
                <w:rFonts w:ascii="Times New Roman" w:eastAsia="仿宋_GB2312" w:hAnsi="Times New Roman" w:cs="Times New Roman"/>
                <w:bCs/>
                <w:kern w:val="44"/>
                <w:sz w:val="22"/>
              </w:rPr>
              <w:t>1</w:t>
            </w:r>
            <w:r>
              <w:rPr>
                <w:rFonts w:ascii="Times New Roman" w:eastAsia="仿宋_GB2312" w:hAnsi="Times New Roman" w:cs="Times New Roman"/>
                <w:bCs/>
                <w:kern w:val="44"/>
                <w:sz w:val="22"/>
              </w:rPr>
              <w:t>394</w:t>
            </w:r>
          </w:p>
        </w:tc>
      </w:tr>
      <w:tr w:rsidR="00555EC1" w:rsidRPr="00FB0069" w14:paraId="089CF709" w14:textId="14A6551B" w:rsidTr="009F06A6">
        <w:trPr>
          <w:trHeight w:val="539"/>
          <w:jc w:val="center"/>
        </w:trPr>
        <w:tc>
          <w:tcPr>
            <w:tcW w:w="514" w:type="pct"/>
            <w:vAlign w:val="center"/>
          </w:tcPr>
          <w:p w14:paraId="0B404B8F" w14:textId="77777777" w:rsidR="00555EC1" w:rsidRPr="008213AD" w:rsidRDefault="00555EC1" w:rsidP="00555EC1">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22514A78" w14:textId="3C9F72B5" w:rsidR="00555EC1" w:rsidRPr="00FB0069" w:rsidRDefault="00555EC1" w:rsidP="00555EC1">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75" w:type="pct"/>
            <w:shd w:val="clear" w:color="auto" w:fill="auto"/>
            <w:vAlign w:val="center"/>
          </w:tcPr>
          <w:p w14:paraId="67FD9CC7" w14:textId="13428321"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color w:val="000000" w:themeColor="text1"/>
                <w:kern w:val="44"/>
                <w:sz w:val="22"/>
              </w:rPr>
              <w:t>99.9</w:t>
            </w:r>
          </w:p>
        </w:tc>
        <w:tc>
          <w:tcPr>
            <w:tcW w:w="375" w:type="pct"/>
            <w:shd w:val="clear" w:color="auto" w:fill="auto"/>
            <w:vAlign w:val="center"/>
          </w:tcPr>
          <w:p w14:paraId="0774738F" w14:textId="79AD3C3C"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color w:val="000000" w:themeColor="text1"/>
                <w:kern w:val="44"/>
                <w:sz w:val="22"/>
              </w:rPr>
              <w:t>100</w:t>
            </w:r>
          </w:p>
        </w:tc>
        <w:tc>
          <w:tcPr>
            <w:tcW w:w="377" w:type="pct"/>
            <w:shd w:val="clear" w:color="auto" w:fill="auto"/>
            <w:vAlign w:val="center"/>
          </w:tcPr>
          <w:p w14:paraId="1981F2B1" w14:textId="05ECD34B"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color w:val="000000" w:themeColor="text1"/>
                <w:kern w:val="44"/>
                <w:sz w:val="22"/>
              </w:rPr>
              <w:t>100</w:t>
            </w:r>
          </w:p>
        </w:tc>
        <w:tc>
          <w:tcPr>
            <w:tcW w:w="375" w:type="pct"/>
            <w:shd w:val="clear" w:color="auto" w:fill="auto"/>
            <w:vAlign w:val="center"/>
          </w:tcPr>
          <w:p w14:paraId="29483D8E" w14:textId="6972A3B5"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color w:val="000000" w:themeColor="text1"/>
                <w:kern w:val="44"/>
                <w:sz w:val="22"/>
              </w:rPr>
              <w:t>99.3</w:t>
            </w:r>
          </w:p>
        </w:tc>
        <w:tc>
          <w:tcPr>
            <w:tcW w:w="375" w:type="pct"/>
            <w:shd w:val="clear" w:color="auto" w:fill="auto"/>
            <w:vAlign w:val="center"/>
          </w:tcPr>
          <w:p w14:paraId="536E2E7A" w14:textId="6DFF512F"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color w:val="000000" w:themeColor="text1"/>
                <w:kern w:val="44"/>
                <w:sz w:val="22"/>
              </w:rPr>
              <w:t>100</w:t>
            </w:r>
          </w:p>
        </w:tc>
        <w:tc>
          <w:tcPr>
            <w:tcW w:w="373" w:type="pct"/>
            <w:shd w:val="clear" w:color="auto" w:fill="auto"/>
            <w:vAlign w:val="center"/>
          </w:tcPr>
          <w:p w14:paraId="44F9D982" w14:textId="76DA70A1"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color w:val="000000" w:themeColor="text1"/>
                <w:kern w:val="44"/>
                <w:sz w:val="22"/>
              </w:rPr>
              <w:t>100</w:t>
            </w:r>
          </w:p>
        </w:tc>
        <w:tc>
          <w:tcPr>
            <w:tcW w:w="375" w:type="pct"/>
            <w:shd w:val="clear" w:color="auto" w:fill="auto"/>
            <w:vAlign w:val="center"/>
          </w:tcPr>
          <w:p w14:paraId="401A2C3D" w14:textId="351FDABB"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color w:val="000000" w:themeColor="text1"/>
                <w:kern w:val="44"/>
                <w:sz w:val="22"/>
              </w:rPr>
              <w:t>100</w:t>
            </w:r>
          </w:p>
        </w:tc>
        <w:tc>
          <w:tcPr>
            <w:tcW w:w="373" w:type="pct"/>
            <w:shd w:val="clear" w:color="auto" w:fill="auto"/>
            <w:vAlign w:val="center"/>
          </w:tcPr>
          <w:p w14:paraId="471FFC19" w14:textId="221716B8"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color w:val="000000" w:themeColor="text1"/>
                <w:kern w:val="44"/>
                <w:sz w:val="22"/>
              </w:rPr>
              <w:t>98.5</w:t>
            </w:r>
          </w:p>
        </w:tc>
        <w:tc>
          <w:tcPr>
            <w:tcW w:w="373" w:type="pct"/>
            <w:shd w:val="clear" w:color="auto" w:fill="auto"/>
            <w:vAlign w:val="center"/>
          </w:tcPr>
          <w:p w14:paraId="3117200D" w14:textId="6ACF6210"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color w:val="000000" w:themeColor="text1"/>
                <w:kern w:val="44"/>
                <w:sz w:val="22"/>
              </w:rPr>
              <w:t>100</w:t>
            </w:r>
          </w:p>
        </w:tc>
        <w:tc>
          <w:tcPr>
            <w:tcW w:w="373" w:type="pct"/>
            <w:shd w:val="clear" w:color="auto" w:fill="auto"/>
            <w:vAlign w:val="center"/>
          </w:tcPr>
          <w:p w14:paraId="5F356BD0" w14:textId="30F1FC1F"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color w:val="000000" w:themeColor="text1"/>
                <w:kern w:val="44"/>
                <w:sz w:val="22"/>
              </w:rPr>
              <w:t>98.9</w:t>
            </w:r>
          </w:p>
        </w:tc>
        <w:tc>
          <w:tcPr>
            <w:tcW w:w="373" w:type="pct"/>
            <w:shd w:val="clear" w:color="auto" w:fill="auto"/>
            <w:vAlign w:val="center"/>
          </w:tcPr>
          <w:p w14:paraId="1F75E348" w14:textId="4E61F1ED" w:rsidR="00555EC1" w:rsidRPr="00555EC1"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555EC1">
              <w:rPr>
                <w:rFonts w:ascii="Times New Roman" w:eastAsia="仿宋_GB2312" w:hAnsi="Times New Roman" w:cs="Times New Roman"/>
                <w:color w:val="000000" w:themeColor="text1"/>
                <w:kern w:val="44"/>
                <w:sz w:val="22"/>
              </w:rPr>
              <w:t>100</w:t>
            </w:r>
          </w:p>
        </w:tc>
        <w:tc>
          <w:tcPr>
            <w:tcW w:w="369" w:type="pct"/>
            <w:vAlign w:val="center"/>
          </w:tcPr>
          <w:p w14:paraId="4C1BB62A" w14:textId="7B536860" w:rsidR="00555EC1" w:rsidRPr="00B35FF4" w:rsidRDefault="00555EC1" w:rsidP="00555EC1">
            <w:pPr>
              <w:spacing w:line="240" w:lineRule="exact"/>
              <w:ind w:leftChars="-50" w:left="-105" w:rightChars="-50" w:right="-105"/>
              <w:jc w:val="center"/>
              <w:rPr>
                <w:rFonts w:ascii="Times New Roman" w:eastAsia="仿宋_GB2312" w:hAnsi="Times New Roman" w:cs="Times New Roman"/>
                <w:bCs/>
                <w:kern w:val="44"/>
                <w:sz w:val="22"/>
              </w:rPr>
            </w:pPr>
            <w:r w:rsidRPr="00B35FF4">
              <w:rPr>
                <w:rFonts w:ascii="Times New Roman" w:eastAsia="仿宋_GB2312" w:hAnsi="Times New Roman" w:cs="Times New Roman" w:hint="eastAsia"/>
                <w:bCs/>
                <w:kern w:val="44"/>
                <w:sz w:val="22"/>
              </w:rPr>
              <w:t>9</w:t>
            </w:r>
            <w:r>
              <w:rPr>
                <w:rFonts w:ascii="Times New Roman" w:eastAsia="仿宋_GB2312" w:hAnsi="Times New Roman" w:cs="Times New Roman"/>
                <w:bCs/>
                <w:kern w:val="44"/>
                <w:sz w:val="22"/>
              </w:rPr>
              <w:t>9.7</w:t>
            </w:r>
          </w:p>
        </w:tc>
      </w:tr>
    </w:tbl>
    <w:p w14:paraId="71577691" w14:textId="056FA073" w:rsidR="00580E7C" w:rsidRPr="00E95B6F" w:rsidRDefault="006113E5" w:rsidP="004B5B07">
      <w:pPr>
        <w:spacing w:line="400" w:lineRule="exact"/>
        <w:jc w:val="center"/>
        <w:rPr>
          <w:rFonts w:ascii="Times New Roman" w:eastAsia="仿宋_GB2312" w:hAnsi="Times New Roman" w:cs="Times New Roman"/>
          <w:b/>
          <w:bCs/>
          <w:kern w:val="44"/>
          <w:sz w:val="24"/>
          <w:szCs w:val="24"/>
        </w:rPr>
      </w:pPr>
      <w:r>
        <w:rPr>
          <w:noProof/>
        </w:rPr>
        <w:drawing>
          <wp:anchor distT="0" distB="0" distL="114300" distR="114300" simplePos="0" relativeHeight="251709440" behindDoc="0" locked="0" layoutInCell="1" allowOverlap="1" wp14:anchorId="1405F512" wp14:editId="061A0DCA">
            <wp:simplePos x="0" y="0"/>
            <wp:positionH relativeFrom="column">
              <wp:posOffset>295275</wp:posOffset>
            </wp:positionH>
            <wp:positionV relativeFrom="paragraph">
              <wp:posOffset>145415</wp:posOffset>
            </wp:positionV>
            <wp:extent cx="4743450" cy="3352800"/>
            <wp:effectExtent l="0" t="0" r="0" b="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r w:rsidR="00580E7C" w:rsidRPr="00E95B6F">
        <w:rPr>
          <w:rFonts w:ascii="Times New Roman" w:eastAsia="仿宋_GB2312" w:hAnsi="Times New Roman" w:cs="Times New Roman"/>
          <w:b/>
          <w:bCs/>
          <w:kern w:val="44"/>
          <w:sz w:val="24"/>
          <w:szCs w:val="24"/>
        </w:rPr>
        <w:t>图</w:t>
      </w:r>
      <w:r w:rsidR="00F74D13">
        <w:rPr>
          <w:rFonts w:ascii="Times New Roman" w:eastAsia="仿宋_GB2312" w:hAnsi="Times New Roman" w:cs="Times New Roman"/>
          <w:b/>
          <w:bCs/>
          <w:kern w:val="44"/>
          <w:sz w:val="24"/>
          <w:szCs w:val="24"/>
        </w:rPr>
        <w:t>9</w:t>
      </w:r>
      <w:r w:rsidR="00580E7C" w:rsidRPr="00E95B6F">
        <w:rPr>
          <w:rFonts w:ascii="Times New Roman" w:eastAsia="仿宋_GB2312" w:hAnsi="Times New Roman" w:cs="Times New Roman"/>
          <w:b/>
          <w:bCs/>
          <w:kern w:val="44"/>
          <w:sz w:val="24"/>
          <w:szCs w:val="24"/>
        </w:rPr>
        <w:t xml:space="preserve">  </w:t>
      </w:r>
      <w:r w:rsidR="00630A51">
        <w:rPr>
          <w:rFonts w:ascii="Times New Roman" w:eastAsia="仿宋_GB2312" w:hAnsi="Times New Roman" w:cs="Times New Roman"/>
          <w:b/>
          <w:bCs/>
          <w:kern w:val="44"/>
          <w:sz w:val="24"/>
          <w:szCs w:val="24"/>
        </w:rPr>
        <w:t xml:space="preserve">  </w:t>
      </w:r>
      <w:r w:rsidR="00B567C3">
        <w:rPr>
          <w:rFonts w:ascii="Times New Roman" w:eastAsia="仿宋_GB2312" w:hAnsi="Times New Roman" w:cs="Times New Roman" w:hint="eastAsia"/>
          <w:b/>
          <w:bCs/>
          <w:kern w:val="44"/>
          <w:sz w:val="24"/>
          <w:szCs w:val="24"/>
        </w:rPr>
        <w:t>有组织</w:t>
      </w:r>
      <w:r w:rsidR="00580E7C" w:rsidRPr="00E95B6F">
        <w:rPr>
          <w:rFonts w:ascii="Times New Roman" w:eastAsia="仿宋_GB2312" w:hAnsi="Times New Roman" w:cs="Times New Roman"/>
          <w:b/>
          <w:bCs/>
          <w:kern w:val="44"/>
          <w:sz w:val="24"/>
          <w:szCs w:val="24"/>
        </w:rPr>
        <w:t>废气</w:t>
      </w:r>
      <w:r w:rsidR="00B35FF4">
        <w:rPr>
          <w:rFonts w:ascii="Times New Roman" w:eastAsia="仿宋_GB2312" w:hAnsi="Times New Roman" w:cs="Times New Roman" w:hint="eastAsia"/>
          <w:b/>
          <w:bCs/>
          <w:kern w:val="44"/>
          <w:sz w:val="24"/>
          <w:szCs w:val="24"/>
        </w:rPr>
        <w:t>分行业</w:t>
      </w:r>
      <w:r w:rsidR="00580E7C" w:rsidRPr="00E95B6F">
        <w:rPr>
          <w:rFonts w:ascii="Times New Roman" w:eastAsia="仿宋_GB2312" w:hAnsi="Times New Roman" w:cs="Times New Roman"/>
          <w:b/>
          <w:bCs/>
          <w:kern w:val="44"/>
          <w:sz w:val="24"/>
          <w:szCs w:val="24"/>
        </w:rPr>
        <w:t>达标情况</w:t>
      </w:r>
      <w:r w:rsidR="00753C93">
        <w:rPr>
          <w:rFonts w:ascii="Times New Roman" w:eastAsia="仿宋_GB2312" w:hAnsi="Times New Roman" w:cs="Times New Roman" w:hint="eastAsia"/>
          <w:b/>
          <w:bCs/>
          <w:kern w:val="44"/>
          <w:sz w:val="24"/>
          <w:szCs w:val="24"/>
        </w:rPr>
        <w:t>（按企业数排序）</w:t>
      </w:r>
    </w:p>
    <w:p w14:paraId="123E58F3" w14:textId="77777777" w:rsidR="009C71E8" w:rsidRDefault="009C71E8" w:rsidP="009C71E8">
      <w:pPr>
        <w:spacing w:line="500" w:lineRule="exact"/>
        <w:ind w:firstLineChars="200" w:firstLine="560"/>
        <w:rPr>
          <w:rFonts w:ascii="Times New Roman" w:eastAsia="仿宋_GB2312" w:hAnsi="Times New Roman" w:cs="Times New Roman"/>
          <w:bCs/>
          <w:kern w:val="44"/>
          <w:sz w:val="28"/>
          <w:szCs w:val="28"/>
        </w:rPr>
      </w:pPr>
    </w:p>
    <w:p w14:paraId="7E00F315" w14:textId="69418954" w:rsidR="009C71E8" w:rsidRDefault="009C71E8" w:rsidP="009C71E8">
      <w:pPr>
        <w:spacing w:line="500" w:lineRule="exact"/>
        <w:ind w:firstLineChars="200" w:firstLine="560"/>
        <w:rPr>
          <w:rFonts w:ascii="Times New Roman" w:eastAsia="仿宋_GB2312" w:hAnsi="Times New Roman" w:cs="Times New Roman"/>
          <w:bCs/>
          <w:kern w:val="44"/>
          <w:sz w:val="28"/>
          <w:szCs w:val="28"/>
        </w:rPr>
      </w:pPr>
      <w:r w:rsidRPr="009C71E8">
        <w:rPr>
          <w:rFonts w:ascii="Times New Roman" w:eastAsia="仿宋_GB2312" w:hAnsi="Times New Roman" w:cs="Times New Roman" w:hint="eastAsia"/>
          <w:bCs/>
          <w:kern w:val="44"/>
          <w:sz w:val="28"/>
          <w:szCs w:val="28"/>
        </w:rPr>
        <w:t>与上年相比，达标率上升了</w:t>
      </w:r>
      <w:r w:rsidRPr="009C71E8">
        <w:rPr>
          <w:rFonts w:ascii="Times New Roman" w:eastAsia="仿宋_GB2312" w:hAnsi="Times New Roman" w:cs="Times New Roman" w:hint="eastAsia"/>
          <w:bCs/>
          <w:kern w:val="44"/>
          <w:sz w:val="28"/>
          <w:szCs w:val="28"/>
        </w:rPr>
        <w:t>0</w:t>
      </w:r>
      <w:r w:rsidRPr="009C71E8">
        <w:rPr>
          <w:rFonts w:ascii="Times New Roman" w:eastAsia="仿宋_GB2312" w:hAnsi="Times New Roman" w:cs="Times New Roman"/>
          <w:bCs/>
          <w:kern w:val="44"/>
          <w:sz w:val="28"/>
          <w:szCs w:val="28"/>
        </w:rPr>
        <w:t>.3</w:t>
      </w:r>
      <w:r w:rsidRPr="009C71E8">
        <w:rPr>
          <w:rFonts w:ascii="Times New Roman" w:eastAsia="仿宋_GB2312" w:hAnsi="Times New Roman" w:cs="Times New Roman" w:hint="eastAsia"/>
          <w:bCs/>
          <w:kern w:val="44"/>
          <w:sz w:val="28"/>
          <w:szCs w:val="28"/>
        </w:rPr>
        <w:t>个百分点。</w:t>
      </w:r>
    </w:p>
    <w:p w14:paraId="6A1171B6" w14:textId="0C38E6F5" w:rsidR="009C71E8" w:rsidRPr="009C71E8" w:rsidRDefault="009C71E8" w:rsidP="009C71E8">
      <w:pPr>
        <w:spacing w:line="500" w:lineRule="exact"/>
        <w:ind w:firstLineChars="200" w:firstLine="560"/>
        <w:rPr>
          <w:rFonts w:ascii="Times New Roman" w:eastAsia="华文楷体" w:hAnsi="Times New Roman" w:cs="Times New Roman"/>
          <w:bCs/>
          <w:kern w:val="44"/>
          <w:sz w:val="26"/>
          <w:szCs w:val="26"/>
        </w:rPr>
      </w:pPr>
      <w:r w:rsidRPr="009C71E8">
        <w:rPr>
          <w:rFonts w:ascii="Times New Roman" w:eastAsia="仿宋_GB2312" w:hAnsi="Times New Roman" w:cs="Times New Roman" w:hint="eastAsia"/>
          <w:bCs/>
          <w:kern w:val="44"/>
          <w:sz w:val="28"/>
          <w:szCs w:val="28"/>
        </w:rPr>
        <w:t>各设区市中，舟山、湖州、嘉兴、绍兴和杭州达标率有所上升，升幅为</w:t>
      </w:r>
      <w:r w:rsidRPr="009C71E8">
        <w:rPr>
          <w:rFonts w:ascii="Times New Roman" w:eastAsia="仿宋_GB2312" w:hAnsi="Times New Roman" w:cs="Times New Roman"/>
          <w:bCs/>
          <w:kern w:val="44"/>
          <w:sz w:val="28"/>
          <w:szCs w:val="28"/>
        </w:rPr>
        <w:t>0.3-4.0</w:t>
      </w:r>
      <w:r w:rsidRPr="009C71E8">
        <w:rPr>
          <w:rFonts w:ascii="Times New Roman" w:eastAsia="仿宋_GB2312" w:hAnsi="Times New Roman" w:cs="Times New Roman" w:hint="eastAsia"/>
          <w:bCs/>
          <w:kern w:val="44"/>
          <w:sz w:val="28"/>
          <w:szCs w:val="28"/>
        </w:rPr>
        <w:t>个百分点；台州达标率下降</w:t>
      </w:r>
      <w:r w:rsidRPr="009C71E8">
        <w:rPr>
          <w:rFonts w:ascii="Times New Roman" w:eastAsia="仿宋_GB2312" w:hAnsi="Times New Roman" w:cs="Times New Roman"/>
          <w:bCs/>
          <w:kern w:val="44"/>
          <w:sz w:val="28"/>
          <w:szCs w:val="28"/>
        </w:rPr>
        <w:t>1.0</w:t>
      </w:r>
      <w:r w:rsidRPr="009C71E8">
        <w:rPr>
          <w:rFonts w:ascii="Times New Roman" w:eastAsia="仿宋_GB2312" w:hAnsi="Times New Roman" w:cs="Times New Roman" w:hint="eastAsia"/>
          <w:bCs/>
          <w:kern w:val="44"/>
          <w:sz w:val="28"/>
          <w:szCs w:val="28"/>
        </w:rPr>
        <w:t>个百分点；其余各市均持平。</w:t>
      </w:r>
    </w:p>
    <w:p w14:paraId="384020C4" w14:textId="551ABC15" w:rsidR="00B540F9" w:rsidRDefault="007351E5" w:rsidP="006F740F">
      <w:pPr>
        <w:spacing w:line="56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各</w:t>
      </w:r>
      <w:r w:rsidR="00B540F9" w:rsidRPr="006D2503">
        <w:rPr>
          <w:rFonts w:ascii="Times New Roman" w:eastAsia="仿宋_GB2312" w:hAnsi="Times New Roman" w:cs="Times New Roman"/>
          <w:bCs/>
          <w:kern w:val="44"/>
          <w:sz w:val="28"/>
          <w:szCs w:val="28"/>
        </w:rPr>
        <w:t>主要行业中，</w:t>
      </w:r>
      <w:r w:rsidR="003001D6">
        <w:rPr>
          <w:rFonts w:ascii="Times New Roman" w:eastAsia="仿宋_GB2312" w:hAnsi="Times New Roman" w:cs="Times New Roman" w:hint="eastAsia"/>
          <w:bCs/>
          <w:kern w:val="44"/>
          <w:sz w:val="28"/>
          <w:szCs w:val="28"/>
        </w:rPr>
        <w:t>电气机械和器材制造业、纺织业、</w:t>
      </w:r>
      <w:r w:rsidR="003001D6" w:rsidRPr="005529F4">
        <w:rPr>
          <w:rFonts w:ascii="Times New Roman" w:eastAsia="仿宋_GB2312" w:hAnsi="Times New Roman" w:cs="Times New Roman" w:hint="eastAsia"/>
          <w:bCs/>
          <w:kern w:val="44"/>
          <w:sz w:val="28"/>
          <w:szCs w:val="28"/>
        </w:rPr>
        <w:t>非金属矿物制品业</w:t>
      </w:r>
      <w:r w:rsidR="003001D6">
        <w:rPr>
          <w:rFonts w:ascii="Times New Roman" w:eastAsia="仿宋_GB2312" w:hAnsi="Times New Roman" w:cs="Times New Roman" w:hint="eastAsia"/>
          <w:bCs/>
          <w:kern w:val="44"/>
          <w:sz w:val="28"/>
          <w:szCs w:val="28"/>
        </w:rPr>
        <w:t>、</w:t>
      </w:r>
      <w:r w:rsidR="006F740F">
        <w:rPr>
          <w:rFonts w:ascii="Times New Roman" w:eastAsia="仿宋_GB2312" w:hAnsi="Times New Roman" w:cs="Times New Roman" w:hint="eastAsia"/>
          <w:bCs/>
          <w:kern w:val="44"/>
          <w:sz w:val="28"/>
          <w:szCs w:val="28"/>
        </w:rPr>
        <w:t>公共设施管理业、</w:t>
      </w:r>
      <w:r w:rsidR="004C1E56">
        <w:rPr>
          <w:rFonts w:ascii="Times New Roman" w:eastAsia="仿宋_GB2312" w:hAnsi="Times New Roman" w:cs="Times New Roman" w:hint="eastAsia"/>
          <w:bCs/>
          <w:kern w:val="44"/>
          <w:sz w:val="28"/>
          <w:szCs w:val="28"/>
        </w:rPr>
        <w:t>化学原料和化学制品制造业</w:t>
      </w:r>
      <w:r w:rsidR="006F740F">
        <w:rPr>
          <w:rFonts w:ascii="Times New Roman" w:eastAsia="仿宋_GB2312" w:hAnsi="Times New Roman" w:cs="Times New Roman" w:hint="eastAsia"/>
          <w:bCs/>
          <w:kern w:val="44"/>
          <w:sz w:val="28"/>
          <w:szCs w:val="28"/>
        </w:rPr>
        <w:t>达标率有所上升，升幅为</w:t>
      </w:r>
      <w:r w:rsidR="006F740F">
        <w:rPr>
          <w:rFonts w:ascii="Times New Roman" w:eastAsia="仿宋_GB2312" w:hAnsi="Times New Roman" w:cs="Times New Roman"/>
          <w:bCs/>
          <w:kern w:val="44"/>
          <w:sz w:val="28"/>
          <w:szCs w:val="28"/>
        </w:rPr>
        <w:t>0.5</w:t>
      </w:r>
      <w:r w:rsidR="006F740F">
        <w:rPr>
          <w:rFonts w:ascii="Times New Roman" w:eastAsia="仿宋_GB2312" w:hAnsi="Times New Roman" w:cs="Times New Roman" w:hint="eastAsia"/>
          <w:bCs/>
          <w:kern w:val="44"/>
          <w:sz w:val="28"/>
          <w:szCs w:val="28"/>
        </w:rPr>
        <w:t>-</w:t>
      </w:r>
      <w:r w:rsidR="006F740F">
        <w:rPr>
          <w:rFonts w:ascii="Times New Roman" w:eastAsia="仿宋_GB2312" w:hAnsi="Times New Roman" w:cs="Times New Roman"/>
          <w:bCs/>
          <w:kern w:val="44"/>
          <w:sz w:val="28"/>
          <w:szCs w:val="28"/>
        </w:rPr>
        <w:t>1.6</w:t>
      </w:r>
      <w:r w:rsidR="006F740F">
        <w:rPr>
          <w:rFonts w:ascii="Times New Roman" w:eastAsia="仿宋_GB2312" w:hAnsi="Times New Roman" w:cs="Times New Roman" w:hint="eastAsia"/>
          <w:bCs/>
          <w:kern w:val="44"/>
          <w:sz w:val="28"/>
          <w:szCs w:val="28"/>
        </w:rPr>
        <w:t>个百分点；金属制品业、医药制造业、</w:t>
      </w:r>
      <w:r w:rsidR="006F740F" w:rsidRPr="005529F4">
        <w:rPr>
          <w:rFonts w:ascii="Times New Roman" w:eastAsia="仿宋_GB2312" w:hAnsi="Times New Roman" w:cs="Times New Roman" w:hint="eastAsia"/>
          <w:bCs/>
          <w:kern w:val="44"/>
          <w:sz w:val="28"/>
          <w:szCs w:val="28"/>
        </w:rPr>
        <w:t>电力、热力生产和供应业</w:t>
      </w:r>
      <w:r w:rsidR="006F740F">
        <w:rPr>
          <w:rFonts w:ascii="Times New Roman" w:eastAsia="仿宋_GB2312" w:hAnsi="Times New Roman" w:cs="Times New Roman" w:hint="eastAsia"/>
          <w:bCs/>
          <w:kern w:val="44"/>
          <w:sz w:val="28"/>
          <w:szCs w:val="28"/>
        </w:rPr>
        <w:t>、有色金属冶炼和压延加工业、生态保护和环境治理业达标率有所下降，</w:t>
      </w:r>
      <w:r w:rsidR="006F740F">
        <w:rPr>
          <w:rFonts w:ascii="Times New Roman" w:eastAsia="仿宋_GB2312" w:hAnsi="Times New Roman" w:cs="Times New Roman"/>
          <w:bCs/>
          <w:kern w:val="44"/>
          <w:sz w:val="28"/>
          <w:szCs w:val="28"/>
        </w:rPr>
        <w:t>降幅为</w:t>
      </w:r>
      <w:r w:rsidR="006F740F">
        <w:rPr>
          <w:rFonts w:ascii="Times New Roman" w:eastAsia="仿宋_GB2312" w:hAnsi="Times New Roman" w:cs="Times New Roman" w:hint="eastAsia"/>
          <w:bCs/>
          <w:kern w:val="44"/>
          <w:sz w:val="28"/>
          <w:szCs w:val="28"/>
        </w:rPr>
        <w:t>0.</w:t>
      </w:r>
      <w:r w:rsidR="006F740F">
        <w:rPr>
          <w:rFonts w:ascii="Times New Roman" w:eastAsia="仿宋_GB2312" w:hAnsi="Times New Roman" w:cs="Times New Roman"/>
          <w:bCs/>
          <w:kern w:val="44"/>
          <w:sz w:val="28"/>
          <w:szCs w:val="28"/>
        </w:rPr>
        <w:t>2</w:t>
      </w:r>
      <w:r w:rsidR="006F740F">
        <w:rPr>
          <w:rFonts w:ascii="Times New Roman" w:eastAsia="仿宋_GB2312" w:hAnsi="Times New Roman" w:cs="Times New Roman" w:hint="eastAsia"/>
          <w:bCs/>
          <w:kern w:val="44"/>
          <w:sz w:val="28"/>
          <w:szCs w:val="28"/>
        </w:rPr>
        <w:t>-</w:t>
      </w:r>
      <w:r w:rsidR="006F740F">
        <w:rPr>
          <w:rFonts w:ascii="Times New Roman" w:eastAsia="仿宋_GB2312" w:hAnsi="Times New Roman" w:cs="Times New Roman"/>
          <w:bCs/>
          <w:kern w:val="44"/>
          <w:sz w:val="28"/>
          <w:szCs w:val="28"/>
        </w:rPr>
        <w:t>1.7</w:t>
      </w:r>
      <w:r w:rsidR="006F740F">
        <w:rPr>
          <w:rFonts w:ascii="Times New Roman" w:eastAsia="仿宋_GB2312" w:hAnsi="Times New Roman" w:cs="Times New Roman" w:hint="eastAsia"/>
          <w:bCs/>
          <w:kern w:val="44"/>
          <w:sz w:val="28"/>
          <w:szCs w:val="28"/>
        </w:rPr>
        <w:t>个百分点；</w:t>
      </w:r>
      <w:r w:rsidR="00A71CF3">
        <w:rPr>
          <w:rFonts w:ascii="Times New Roman" w:eastAsia="仿宋_GB2312" w:hAnsi="Times New Roman" w:cs="Times New Roman" w:hint="eastAsia"/>
          <w:bCs/>
          <w:kern w:val="44"/>
          <w:sz w:val="28"/>
          <w:szCs w:val="28"/>
        </w:rPr>
        <w:t>橡胶和塑料制品业</w:t>
      </w:r>
      <w:r w:rsidR="0015337D">
        <w:rPr>
          <w:rFonts w:ascii="Times New Roman" w:eastAsia="仿宋_GB2312" w:hAnsi="Times New Roman" w:cs="Times New Roman" w:hint="eastAsia"/>
          <w:bCs/>
          <w:kern w:val="44"/>
          <w:sz w:val="28"/>
          <w:szCs w:val="28"/>
        </w:rPr>
        <w:t>持</w:t>
      </w:r>
      <w:r w:rsidR="004C1E56">
        <w:rPr>
          <w:rFonts w:ascii="Times New Roman" w:eastAsia="仿宋_GB2312" w:hAnsi="Times New Roman" w:cs="Times New Roman" w:hint="eastAsia"/>
          <w:bCs/>
          <w:kern w:val="44"/>
          <w:sz w:val="28"/>
          <w:szCs w:val="28"/>
        </w:rPr>
        <w:t>平</w:t>
      </w:r>
      <w:r w:rsidR="00B540F9" w:rsidRPr="006D2503">
        <w:rPr>
          <w:rFonts w:ascii="Times New Roman" w:eastAsia="仿宋_GB2312" w:hAnsi="Times New Roman" w:cs="Times New Roman"/>
          <w:bCs/>
          <w:kern w:val="44"/>
          <w:sz w:val="28"/>
          <w:szCs w:val="28"/>
        </w:rPr>
        <w:t>。</w:t>
      </w:r>
    </w:p>
    <w:p w14:paraId="0F35C3FE" w14:textId="7E11EA66" w:rsidR="00B540F9" w:rsidRDefault="006F0A12" w:rsidP="00A7184D">
      <w:pPr>
        <w:jc w:val="center"/>
        <w:rPr>
          <w:rFonts w:ascii="仿宋_GB2312" w:eastAsia="仿宋_GB2312" w:hAnsi="华文楷体"/>
          <w:b/>
          <w:bCs/>
          <w:kern w:val="44"/>
          <w:sz w:val="24"/>
          <w:szCs w:val="24"/>
        </w:rPr>
      </w:pPr>
      <w:r>
        <w:rPr>
          <w:noProof/>
        </w:rPr>
        <w:lastRenderedPageBreak/>
        <w:drawing>
          <wp:anchor distT="0" distB="0" distL="114300" distR="114300" simplePos="0" relativeHeight="251704320" behindDoc="0" locked="0" layoutInCell="1" allowOverlap="1" wp14:anchorId="600B98B4" wp14:editId="1DF8BE69">
            <wp:simplePos x="0" y="0"/>
            <wp:positionH relativeFrom="margin">
              <wp:posOffset>-180975</wp:posOffset>
            </wp:positionH>
            <wp:positionV relativeFrom="paragraph">
              <wp:posOffset>2952750</wp:posOffset>
            </wp:positionV>
            <wp:extent cx="5210175" cy="3562350"/>
            <wp:effectExtent l="0" t="0" r="0" b="0"/>
            <wp:wrapTopAndBottom/>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296" behindDoc="0" locked="0" layoutInCell="1" allowOverlap="1" wp14:anchorId="179031F9" wp14:editId="693BC780">
            <wp:simplePos x="0" y="0"/>
            <wp:positionH relativeFrom="margin">
              <wp:align>center</wp:align>
            </wp:positionH>
            <wp:positionV relativeFrom="paragraph">
              <wp:posOffset>28575</wp:posOffset>
            </wp:positionV>
            <wp:extent cx="5005070" cy="2524125"/>
            <wp:effectExtent l="0" t="0" r="5080" b="0"/>
            <wp:wrapTopAndBottom/>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仿宋_GB2312" w:eastAsia="仿宋_GB2312" w:hAnsi="华文楷体" w:hint="eastAsia"/>
          <w:b/>
          <w:bCs/>
          <w:kern w:val="44"/>
          <w:sz w:val="24"/>
          <w:szCs w:val="24"/>
        </w:rPr>
        <w:t xml:space="preserve"> </w:t>
      </w:r>
      <w:r>
        <w:rPr>
          <w:rFonts w:ascii="仿宋_GB2312" w:eastAsia="仿宋_GB2312" w:hAnsi="华文楷体"/>
          <w:b/>
          <w:bCs/>
          <w:kern w:val="44"/>
          <w:sz w:val="24"/>
          <w:szCs w:val="24"/>
        </w:rPr>
        <w:t xml:space="preserve">    </w:t>
      </w:r>
      <w:r w:rsidR="00B540F9" w:rsidRPr="00CC5182">
        <w:rPr>
          <w:rFonts w:ascii="仿宋_GB2312" w:eastAsia="仿宋_GB2312" w:hAnsi="华文楷体" w:hint="eastAsia"/>
          <w:b/>
          <w:bCs/>
          <w:kern w:val="44"/>
          <w:sz w:val="24"/>
          <w:szCs w:val="24"/>
        </w:rPr>
        <w:t>图</w:t>
      </w:r>
      <w:r w:rsidR="00B540F9" w:rsidRPr="00E95F71">
        <w:rPr>
          <w:rFonts w:ascii="Times New Roman" w:eastAsia="仿宋_GB2312" w:hAnsi="Times New Roman" w:cs="Times New Roman"/>
          <w:b/>
          <w:bCs/>
          <w:kern w:val="44"/>
          <w:sz w:val="24"/>
          <w:szCs w:val="24"/>
        </w:rPr>
        <w:t>1</w:t>
      </w:r>
      <w:r w:rsidR="00F74D13">
        <w:rPr>
          <w:rFonts w:ascii="Times New Roman" w:eastAsia="仿宋_GB2312" w:hAnsi="Times New Roman" w:cs="Times New Roman"/>
          <w:b/>
          <w:bCs/>
          <w:kern w:val="44"/>
          <w:sz w:val="24"/>
          <w:szCs w:val="24"/>
        </w:rPr>
        <w:t>0</w:t>
      </w:r>
      <w:r w:rsidR="00B540F9" w:rsidRPr="00CC5182">
        <w:rPr>
          <w:rFonts w:ascii="仿宋_GB2312" w:eastAsia="仿宋_GB2312" w:hAnsi="华文楷体" w:hint="eastAsia"/>
          <w:b/>
          <w:bCs/>
          <w:kern w:val="44"/>
          <w:sz w:val="24"/>
          <w:szCs w:val="24"/>
        </w:rPr>
        <w:t xml:space="preserve">  </w:t>
      </w:r>
      <w:r w:rsidR="00B567C3">
        <w:rPr>
          <w:rFonts w:ascii="仿宋_GB2312" w:eastAsia="仿宋_GB2312" w:hAnsi="华文楷体"/>
          <w:b/>
          <w:bCs/>
          <w:kern w:val="44"/>
          <w:sz w:val="24"/>
          <w:szCs w:val="24"/>
        </w:rPr>
        <w:t xml:space="preserve"> </w:t>
      </w:r>
      <w:r w:rsidR="00A7184D">
        <w:rPr>
          <w:rFonts w:ascii="仿宋_GB2312" w:eastAsia="仿宋_GB2312" w:hAnsi="华文楷体"/>
          <w:b/>
          <w:bCs/>
          <w:kern w:val="44"/>
          <w:sz w:val="24"/>
          <w:szCs w:val="24"/>
        </w:rPr>
        <w:t xml:space="preserve"> </w:t>
      </w:r>
      <w:r w:rsidR="00753C93">
        <w:rPr>
          <w:rFonts w:ascii="仿宋_GB2312" w:eastAsia="仿宋_GB2312" w:hAnsi="华文楷体" w:hint="eastAsia"/>
          <w:b/>
          <w:bCs/>
          <w:kern w:val="44"/>
          <w:sz w:val="24"/>
          <w:szCs w:val="24"/>
        </w:rPr>
        <w:t>有组织废气分区域</w:t>
      </w:r>
      <w:r w:rsidR="00B540F9" w:rsidRPr="00CC5182">
        <w:rPr>
          <w:rFonts w:ascii="仿宋_GB2312" w:eastAsia="仿宋_GB2312" w:hAnsi="华文楷体" w:hint="eastAsia"/>
          <w:b/>
          <w:bCs/>
          <w:kern w:val="44"/>
          <w:sz w:val="24"/>
          <w:szCs w:val="24"/>
        </w:rPr>
        <w:t>达标率变化情况</w:t>
      </w:r>
      <w:r w:rsidR="00753C93">
        <w:rPr>
          <w:rFonts w:ascii="仿宋_GB2312" w:eastAsia="仿宋_GB2312" w:hAnsi="华文楷体" w:hint="eastAsia"/>
          <w:b/>
          <w:bCs/>
          <w:kern w:val="44"/>
          <w:sz w:val="24"/>
          <w:szCs w:val="24"/>
        </w:rPr>
        <w:t>（按变化百分点排序）</w:t>
      </w:r>
    </w:p>
    <w:p w14:paraId="2350A2A1" w14:textId="13D8349A" w:rsidR="003C7550" w:rsidRPr="001154DA" w:rsidRDefault="0024428E" w:rsidP="00753C93">
      <w:pPr>
        <w:spacing w:line="400" w:lineRule="exact"/>
        <w:jc w:val="center"/>
        <w:rPr>
          <w:rFonts w:ascii="仿宋_GB2312" w:eastAsia="仿宋_GB2312" w:hAnsi="华文楷体"/>
          <w:b/>
          <w:bCs/>
          <w:kern w:val="44"/>
          <w:sz w:val="24"/>
          <w:szCs w:val="24"/>
        </w:rPr>
      </w:pPr>
      <w:r>
        <w:rPr>
          <w:rFonts w:ascii="仿宋_GB2312" w:eastAsia="仿宋_GB2312" w:hAnsi="华文楷体" w:hint="eastAsia"/>
          <w:b/>
          <w:bCs/>
          <w:kern w:val="44"/>
          <w:sz w:val="24"/>
          <w:szCs w:val="24"/>
        </w:rPr>
        <w:t xml:space="preserve"> </w:t>
      </w:r>
      <w:r>
        <w:rPr>
          <w:rFonts w:ascii="仿宋_GB2312" w:eastAsia="仿宋_GB2312" w:hAnsi="华文楷体"/>
          <w:b/>
          <w:bCs/>
          <w:kern w:val="44"/>
          <w:sz w:val="24"/>
          <w:szCs w:val="24"/>
        </w:rPr>
        <w:t xml:space="preserve"> </w:t>
      </w:r>
      <w:r w:rsidR="003C7550" w:rsidRPr="001154DA">
        <w:rPr>
          <w:rFonts w:ascii="仿宋_GB2312" w:eastAsia="仿宋_GB2312" w:hAnsi="华文楷体" w:hint="eastAsia"/>
          <w:b/>
          <w:bCs/>
          <w:kern w:val="44"/>
          <w:sz w:val="24"/>
          <w:szCs w:val="24"/>
        </w:rPr>
        <w:t>图</w:t>
      </w:r>
      <w:r w:rsidR="003C7550" w:rsidRPr="001154DA">
        <w:rPr>
          <w:rFonts w:ascii="Times New Roman" w:eastAsia="仿宋_GB2312" w:hAnsi="Times New Roman" w:cs="Times New Roman"/>
          <w:b/>
          <w:bCs/>
          <w:kern w:val="44"/>
          <w:sz w:val="24"/>
          <w:szCs w:val="24"/>
        </w:rPr>
        <w:t>1</w:t>
      </w:r>
      <w:r w:rsidR="003C7550">
        <w:rPr>
          <w:rFonts w:ascii="Times New Roman" w:eastAsia="仿宋_GB2312" w:hAnsi="Times New Roman" w:cs="Times New Roman"/>
          <w:b/>
          <w:bCs/>
          <w:kern w:val="44"/>
          <w:sz w:val="24"/>
          <w:szCs w:val="24"/>
        </w:rPr>
        <w:t>1</w:t>
      </w:r>
      <w:r w:rsidR="003C7550" w:rsidRPr="001154DA">
        <w:rPr>
          <w:rFonts w:ascii="仿宋_GB2312" w:eastAsia="仿宋_GB2312" w:hAnsi="华文楷体" w:hint="eastAsia"/>
          <w:b/>
          <w:bCs/>
          <w:kern w:val="44"/>
          <w:sz w:val="24"/>
          <w:szCs w:val="24"/>
        </w:rPr>
        <w:t xml:space="preserve">  </w:t>
      </w:r>
      <w:r w:rsidR="00630A51">
        <w:rPr>
          <w:rFonts w:ascii="仿宋_GB2312" w:eastAsia="仿宋_GB2312" w:hAnsi="华文楷体"/>
          <w:b/>
          <w:bCs/>
          <w:kern w:val="44"/>
          <w:sz w:val="24"/>
          <w:szCs w:val="24"/>
        </w:rPr>
        <w:t xml:space="preserve">  </w:t>
      </w:r>
      <w:r w:rsidR="00753C93">
        <w:rPr>
          <w:rFonts w:ascii="仿宋_GB2312" w:eastAsia="仿宋_GB2312" w:hAnsi="华文楷体" w:hint="eastAsia"/>
          <w:b/>
          <w:bCs/>
          <w:kern w:val="44"/>
          <w:sz w:val="24"/>
          <w:szCs w:val="24"/>
        </w:rPr>
        <w:t>有组织废气分</w:t>
      </w:r>
      <w:r w:rsidR="003C7550" w:rsidRPr="001154DA">
        <w:rPr>
          <w:rFonts w:ascii="仿宋_GB2312" w:eastAsia="仿宋_GB2312" w:hAnsi="华文楷体" w:hint="eastAsia"/>
          <w:b/>
          <w:bCs/>
          <w:kern w:val="44"/>
          <w:sz w:val="24"/>
          <w:szCs w:val="24"/>
        </w:rPr>
        <w:t>行业达标率变化情况</w:t>
      </w:r>
      <w:r w:rsidR="00753C93">
        <w:rPr>
          <w:rFonts w:ascii="仿宋_GB2312" w:eastAsia="仿宋_GB2312" w:hAnsi="华文楷体" w:hint="eastAsia"/>
          <w:b/>
          <w:bCs/>
          <w:kern w:val="44"/>
          <w:sz w:val="24"/>
          <w:szCs w:val="24"/>
        </w:rPr>
        <w:t>（按变化百分点排序）</w:t>
      </w:r>
    </w:p>
    <w:p w14:paraId="267770A5" w14:textId="77777777" w:rsidR="0083313E" w:rsidRDefault="0083313E" w:rsidP="00F1328B">
      <w:pPr>
        <w:spacing w:line="520" w:lineRule="exact"/>
        <w:ind w:firstLineChars="200" w:firstLine="560"/>
        <w:rPr>
          <w:rFonts w:ascii="Times New Roman" w:eastAsia="仿宋_GB2312" w:hAnsi="Times New Roman" w:cs="Times New Roman"/>
          <w:bCs/>
          <w:kern w:val="44"/>
          <w:sz w:val="28"/>
          <w:szCs w:val="28"/>
        </w:rPr>
      </w:pPr>
    </w:p>
    <w:p w14:paraId="28020959" w14:textId="09AF55B3" w:rsidR="00F1328B" w:rsidRDefault="00F1328B" w:rsidP="00F1328B">
      <w:pPr>
        <w:spacing w:line="520" w:lineRule="exact"/>
        <w:ind w:firstLineChars="200" w:firstLine="560"/>
        <w:rPr>
          <w:rFonts w:ascii="Times New Roman" w:eastAsia="仿宋_GB2312" w:hAnsi="Times New Roman" w:cs="Times New Roman"/>
          <w:bCs/>
          <w:kern w:val="44"/>
          <w:sz w:val="28"/>
          <w:szCs w:val="28"/>
        </w:rPr>
      </w:pPr>
      <w:r w:rsidRPr="00F1328B">
        <w:rPr>
          <w:rFonts w:ascii="Times New Roman" w:eastAsia="仿宋_GB2312" w:hAnsi="Times New Roman" w:cs="Times New Roman" w:hint="eastAsia"/>
          <w:bCs/>
          <w:kern w:val="44"/>
          <w:sz w:val="28"/>
          <w:szCs w:val="28"/>
        </w:rPr>
        <w:t>存在超标的企业共</w:t>
      </w:r>
      <w:r w:rsidRPr="00F1328B">
        <w:rPr>
          <w:rFonts w:ascii="Times New Roman" w:eastAsia="仿宋_GB2312" w:hAnsi="Times New Roman" w:cs="Times New Roman"/>
          <w:bCs/>
          <w:kern w:val="44"/>
          <w:sz w:val="28"/>
          <w:szCs w:val="28"/>
        </w:rPr>
        <w:t>7</w:t>
      </w:r>
      <w:r w:rsidRPr="00F1328B">
        <w:rPr>
          <w:rFonts w:ascii="Times New Roman" w:eastAsia="仿宋_GB2312" w:hAnsi="Times New Roman" w:cs="Times New Roman" w:hint="eastAsia"/>
          <w:bCs/>
          <w:kern w:val="44"/>
          <w:sz w:val="28"/>
          <w:szCs w:val="28"/>
        </w:rPr>
        <w:t>家，其中台州超标企业占比最高，为</w:t>
      </w:r>
      <w:r w:rsidRPr="00F1328B">
        <w:rPr>
          <w:rFonts w:ascii="Times New Roman" w:eastAsia="仿宋_GB2312" w:hAnsi="Times New Roman" w:cs="Times New Roman"/>
          <w:bCs/>
          <w:kern w:val="44"/>
          <w:sz w:val="28"/>
          <w:szCs w:val="28"/>
        </w:rPr>
        <w:t>57.1</w:t>
      </w:r>
      <w:r w:rsidRPr="00F1328B">
        <w:rPr>
          <w:rFonts w:ascii="Times New Roman" w:eastAsia="仿宋_GB2312" w:hAnsi="Times New Roman" w:cs="Times New Roman" w:hint="eastAsia"/>
          <w:bCs/>
          <w:kern w:val="44"/>
          <w:sz w:val="28"/>
          <w:szCs w:val="28"/>
        </w:rPr>
        <w:t>%</w:t>
      </w:r>
      <w:r w:rsidRPr="00F1328B">
        <w:rPr>
          <w:rFonts w:ascii="Times New Roman" w:eastAsia="仿宋_GB2312" w:hAnsi="Times New Roman" w:cs="Times New Roman" w:hint="eastAsia"/>
          <w:bCs/>
          <w:kern w:val="44"/>
          <w:sz w:val="28"/>
          <w:szCs w:val="28"/>
        </w:rPr>
        <w:t>。</w:t>
      </w:r>
      <w:r w:rsidR="0083313E">
        <w:rPr>
          <w:rFonts w:ascii="Times New Roman" w:eastAsia="仿宋_GB2312" w:hAnsi="Times New Roman" w:cs="Times New Roman" w:hint="eastAsia"/>
          <w:bCs/>
          <w:kern w:val="44"/>
          <w:sz w:val="28"/>
          <w:szCs w:val="28"/>
        </w:rPr>
        <w:t>超标行业为</w:t>
      </w:r>
      <w:r w:rsidR="0083313E" w:rsidRPr="005529F4">
        <w:rPr>
          <w:rFonts w:ascii="Times New Roman" w:eastAsia="仿宋_GB2312" w:hAnsi="Times New Roman" w:cs="Times New Roman" w:hint="eastAsia"/>
          <w:bCs/>
          <w:kern w:val="44"/>
          <w:sz w:val="28"/>
          <w:szCs w:val="28"/>
        </w:rPr>
        <w:t>电力、热力生产和供应业</w:t>
      </w:r>
      <w:r w:rsidR="0083313E">
        <w:rPr>
          <w:rFonts w:ascii="Times New Roman" w:eastAsia="仿宋_GB2312" w:hAnsi="Times New Roman" w:cs="Times New Roman" w:hint="eastAsia"/>
          <w:bCs/>
          <w:kern w:val="44"/>
          <w:sz w:val="28"/>
          <w:szCs w:val="28"/>
        </w:rPr>
        <w:t>、公共设施管理业、金属制品业、医药制造业、有色金属冶炼和压延加工业、生态保护和环境治理业。</w:t>
      </w:r>
      <w:r w:rsidRPr="00F1328B">
        <w:rPr>
          <w:rFonts w:ascii="Times New Roman" w:eastAsia="仿宋_GB2312" w:hAnsi="Times New Roman" w:cs="Times New Roman" w:hint="eastAsia"/>
          <w:bCs/>
          <w:kern w:val="44"/>
          <w:sz w:val="28"/>
          <w:szCs w:val="28"/>
        </w:rPr>
        <w:t>超标指标为二噁英类、甲烷、铬酸雾、烟尘、非甲烷总烃和锑，砷，铅，铬，钴，铜，锰，镍及其化合物。</w:t>
      </w:r>
    </w:p>
    <w:p w14:paraId="795AE2AC" w14:textId="77777777" w:rsidR="0083313E" w:rsidRDefault="0083313E" w:rsidP="00912D5F">
      <w:pPr>
        <w:jc w:val="center"/>
        <w:rPr>
          <w:rFonts w:ascii="Times New Roman" w:eastAsia="仿宋_GB2312" w:hAnsi="Times New Roman" w:cs="Times New Roman"/>
          <w:b/>
          <w:bCs/>
          <w:kern w:val="44"/>
          <w:sz w:val="24"/>
          <w:szCs w:val="24"/>
        </w:rPr>
      </w:pPr>
    </w:p>
    <w:p w14:paraId="1DF186FE" w14:textId="11C623DF" w:rsidR="00B567C3" w:rsidRPr="00B567C3" w:rsidRDefault="00B567C3" w:rsidP="00912D5F">
      <w:pPr>
        <w:jc w:val="center"/>
        <w:rPr>
          <w:rFonts w:ascii="Times New Roman" w:eastAsia="仿宋_GB2312" w:hAnsi="Times New Roman" w:cs="Times New Roman"/>
          <w:b/>
          <w:bCs/>
          <w:kern w:val="44"/>
          <w:sz w:val="24"/>
          <w:szCs w:val="24"/>
        </w:rPr>
      </w:pPr>
      <w:r w:rsidRPr="00B567C3">
        <w:rPr>
          <w:rFonts w:ascii="Times New Roman" w:eastAsia="仿宋_GB2312" w:hAnsi="Times New Roman" w:cs="Times New Roman" w:hint="eastAsia"/>
          <w:b/>
          <w:bCs/>
          <w:kern w:val="44"/>
          <w:sz w:val="24"/>
          <w:szCs w:val="24"/>
        </w:rPr>
        <w:t>表</w:t>
      </w:r>
      <w:r w:rsidR="008E2F43">
        <w:rPr>
          <w:rFonts w:ascii="Times New Roman" w:eastAsia="仿宋_GB2312" w:hAnsi="Times New Roman" w:cs="Times New Roman" w:hint="eastAsia"/>
          <w:b/>
          <w:bCs/>
          <w:kern w:val="44"/>
          <w:sz w:val="24"/>
          <w:szCs w:val="24"/>
        </w:rPr>
        <w:t>7</w:t>
      </w:r>
      <w:r w:rsidRPr="00B567C3">
        <w:rPr>
          <w:rFonts w:ascii="Times New Roman" w:eastAsia="仿宋_GB2312" w:hAnsi="Times New Roman" w:cs="Times New Roman" w:hint="eastAsia"/>
          <w:b/>
          <w:bCs/>
          <w:kern w:val="44"/>
          <w:sz w:val="24"/>
          <w:szCs w:val="24"/>
        </w:rPr>
        <w:t xml:space="preserve">   </w:t>
      </w:r>
      <w:r w:rsidR="00630A51">
        <w:rPr>
          <w:rFonts w:ascii="Times New Roman" w:eastAsia="仿宋_GB2312" w:hAnsi="Times New Roman" w:cs="Times New Roman"/>
          <w:b/>
          <w:bCs/>
          <w:kern w:val="44"/>
          <w:sz w:val="24"/>
          <w:szCs w:val="24"/>
        </w:rPr>
        <w:t xml:space="preserve"> </w:t>
      </w:r>
      <w:r>
        <w:rPr>
          <w:rFonts w:ascii="Times New Roman" w:eastAsia="仿宋_GB2312" w:hAnsi="Times New Roman" w:cs="Times New Roman" w:hint="eastAsia"/>
          <w:b/>
          <w:bCs/>
          <w:kern w:val="44"/>
          <w:sz w:val="24"/>
          <w:szCs w:val="24"/>
        </w:rPr>
        <w:t>有组织</w:t>
      </w:r>
      <w:r w:rsidR="00753C93" w:rsidRPr="00B567C3">
        <w:rPr>
          <w:rFonts w:ascii="Times New Roman" w:eastAsia="仿宋_GB2312" w:hAnsi="Times New Roman" w:cs="Times New Roman" w:hint="eastAsia"/>
          <w:b/>
          <w:bCs/>
          <w:kern w:val="44"/>
          <w:sz w:val="24"/>
          <w:szCs w:val="24"/>
        </w:rPr>
        <w:t>废气</w:t>
      </w:r>
      <w:r w:rsidR="00753C93">
        <w:rPr>
          <w:rFonts w:ascii="Times New Roman" w:eastAsia="仿宋_GB2312" w:hAnsi="Times New Roman" w:cs="Times New Roman" w:hint="eastAsia"/>
          <w:b/>
          <w:bCs/>
          <w:kern w:val="44"/>
          <w:sz w:val="24"/>
          <w:szCs w:val="24"/>
        </w:rPr>
        <w:t>分区域</w:t>
      </w:r>
      <w:r w:rsidR="00E157C4">
        <w:rPr>
          <w:rFonts w:ascii="Times New Roman" w:eastAsia="仿宋_GB2312" w:hAnsi="Times New Roman" w:cs="Times New Roman" w:hint="eastAsia"/>
          <w:b/>
          <w:bCs/>
          <w:kern w:val="44"/>
          <w:sz w:val="24"/>
          <w:szCs w:val="24"/>
        </w:rPr>
        <w:t>超标情况</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594"/>
        <w:gridCol w:w="574"/>
        <w:gridCol w:w="575"/>
        <w:gridCol w:w="594"/>
        <w:gridCol w:w="577"/>
        <w:gridCol w:w="577"/>
        <w:gridCol w:w="577"/>
        <w:gridCol w:w="594"/>
        <w:gridCol w:w="577"/>
        <w:gridCol w:w="594"/>
        <w:gridCol w:w="570"/>
        <w:gridCol w:w="570"/>
      </w:tblGrid>
      <w:tr w:rsidR="00C1181A" w:rsidRPr="00B567C3" w14:paraId="60BDE904" w14:textId="4AB61793" w:rsidTr="0083313E">
        <w:trPr>
          <w:trHeight w:val="600"/>
          <w:jc w:val="center"/>
        </w:trPr>
        <w:tc>
          <w:tcPr>
            <w:tcW w:w="795" w:type="pct"/>
            <w:shd w:val="clear" w:color="auto" w:fill="auto"/>
            <w:vAlign w:val="center"/>
          </w:tcPr>
          <w:p w14:paraId="55D487A1"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设区市</w:t>
            </w:r>
          </w:p>
        </w:tc>
        <w:tc>
          <w:tcPr>
            <w:tcW w:w="358" w:type="pct"/>
            <w:shd w:val="clear" w:color="auto" w:fill="auto"/>
            <w:vAlign w:val="center"/>
          </w:tcPr>
          <w:p w14:paraId="782D64B2"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杭州</w:t>
            </w:r>
          </w:p>
        </w:tc>
        <w:tc>
          <w:tcPr>
            <w:tcW w:w="346" w:type="pct"/>
            <w:shd w:val="clear" w:color="auto" w:fill="auto"/>
            <w:vAlign w:val="center"/>
          </w:tcPr>
          <w:p w14:paraId="007CEF90"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宁波</w:t>
            </w:r>
          </w:p>
        </w:tc>
        <w:tc>
          <w:tcPr>
            <w:tcW w:w="347" w:type="pct"/>
            <w:shd w:val="clear" w:color="auto" w:fill="auto"/>
            <w:vAlign w:val="center"/>
          </w:tcPr>
          <w:p w14:paraId="53FF1432"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温州</w:t>
            </w:r>
          </w:p>
        </w:tc>
        <w:tc>
          <w:tcPr>
            <w:tcW w:w="358" w:type="pct"/>
            <w:shd w:val="clear" w:color="auto" w:fill="auto"/>
            <w:vAlign w:val="center"/>
          </w:tcPr>
          <w:p w14:paraId="7BB6946F" w14:textId="6A8FA1FB"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湖州</w:t>
            </w:r>
          </w:p>
        </w:tc>
        <w:tc>
          <w:tcPr>
            <w:tcW w:w="348" w:type="pct"/>
            <w:shd w:val="clear" w:color="auto" w:fill="auto"/>
            <w:vAlign w:val="center"/>
          </w:tcPr>
          <w:p w14:paraId="26695C90" w14:textId="234603AF"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嘉兴</w:t>
            </w:r>
          </w:p>
        </w:tc>
        <w:tc>
          <w:tcPr>
            <w:tcW w:w="348" w:type="pct"/>
            <w:shd w:val="clear" w:color="auto" w:fill="auto"/>
            <w:vAlign w:val="center"/>
          </w:tcPr>
          <w:p w14:paraId="3310CC11"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绍兴</w:t>
            </w:r>
          </w:p>
        </w:tc>
        <w:tc>
          <w:tcPr>
            <w:tcW w:w="348" w:type="pct"/>
            <w:shd w:val="clear" w:color="auto" w:fill="auto"/>
            <w:vAlign w:val="center"/>
          </w:tcPr>
          <w:p w14:paraId="26717428"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金华</w:t>
            </w:r>
          </w:p>
        </w:tc>
        <w:tc>
          <w:tcPr>
            <w:tcW w:w="358" w:type="pct"/>
            <w:shd w:val="clear" w:color="auto" w:fill="auto"/>
            <w:vAlign w:val="center"/>
          </w:tcPr>
          <w:p w14:paraId="6981DD0C"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衢州</w:t>
            </w:r>
          </w:p>
        </w:tc>
        <w:tc>
          <w:tcPr>
            <w:tcW w:w="348" w:type="pct"/>
            <w:shd w:val="clear" w:color="auto" w:fill="auto"/>
            <w:vAlign w:val="center"/>
          </w:tcPr>
          <w:p w14:paraId="360A103E"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舟山</w:t>
            </w:r>
          </w:p>
        </w:tc>
        <w:tc>
          <w:tcPr>
            <w:tcW w:w="358" w:type="pct"/>
            <w:shd w:val="clear" w:color="auto" w:fill="auto"/>
            <w:vAlign w:val="center"/>
          </w:tcPr>
          <w:p w14:paraId="3B1DF02B"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台州</w:t>
            </w:r>
          </w:p>
        </w:tc>
        <w:tc>
          <w:tcPr>
            <w:tcW w:w="344" w:type="pct"/>
            <w:shd w:val="clear" w:color="auto" w:fill="auto"/>
            <w:vAlign w:val="center"/>
          </w:tcPr>
          <w:p w14:paraId="06936CB4"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丽水</w:t>
            </w:r>
          </w:p>
        </w:tc>
        <w:tc>
          <w:tcPr>
            <w:tcW w:w="344" w:type="pct"/>
            <w:vAlign w:val="center"/>
          </w:tcPr>
          <w:p w14:paraId="46B3430F" w14:textId="7EF4ECF2" w:rsidR="00C1181A" w:rsidRPr="00C1181A" w:rsidRDefault="00C1181A" w:rsidP="00C1181A">
            <w:pPr>
              <w:spacing w:line="300" w:lineRule="exact"/>
              <w:ind w:leftChars="-20" w:left="-42" w:rightChars="-20" w:right="-42"/>
              <w:jc w:val="center"/>
              <w:rPr>
                <w:rFonts w:ascii="仿宋_GB2312" w:eastAsia="仿宋_GB2312"/>
                <w:bCs/>
                <w:kern w:val="44"/>
                <w:sz w:val="22"/>
              </w:rPr>
            </w:pPr>
            <w:r w:rsidRPr="00C1181A">
              <w:rPr>
                <w:rFonts w:ascii="仿宋_GB2312" w:eastAsia="仿宋_GB2312" w:hint="eastAsia"/>
                <w:bCs/>
                <w:kern w:val="44"/>
                <w:sz w:val="22"/>
              </w:rPr>
              <w:t>全省</w:t>
            </w:r>
          </w:p>
        </w:tc>
      </w:tr>
      <w:tr w:rsidR="007111F2" w:rsidRPr="00B567C3" w14:paraId="2779D983" w14:textId="66207C6D" w:rsidTr="0083313E">
        <w:trPr>
          <w:trHeight w:val="600"/>
          <w:jc w:val="center"/>
        </w:trPr>
        <w:tc>
          <w:tcPr>
            <w:tcW w:w="795" w:type="pct"/>
            <w:shd w:val="clear" w:color="auto" w:fill="auto"/>
            <w:vAlign w:val="center"/>
          </w:tcPr>
          <w:p w14:paraId="70A11E0F" w14:textId="79AFB3A2" w:rsidR="007111F2" w:rsidRPr="00FB0069" w:rsidRDefault="007111F2" w:rsidP="007111F2">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超标</w:t>
            </w:r>
            <w:r>
              <w:rPr>
                <w:rFonts w:ascii="仿宋_GB2312" w:eastAsia="仿宋_GB2312" w:hint="eastAsia"/>
                <w:bCs/>
                <w:kern w:val="44"/>
                <w:sz w:val="22"/>
              </w:rPr>
              <w:t>企业数</w:t>
            </w:r>
            <w:r w:rsidRPr="00FB0069">
              <w:rPr>
                <w:rFonts w:ascii="仿宋_GB2312" w:eastAsia="仿宋_GB2312" w:hint="eastAsia"/>
                <w:bCs/>
                <w:kern w:val="44"/>
                <w:sz w:val="22"/>
              </w:rPr>
              <w:t>（家）</w:t>
            </w:r>
          </w:p>
        </w:tc>
        <w:tc>
          <w:tcPr>
            <w:tcW w:w="358" w:type="pct"/>
            <w:shd w:val="clear" w:color="auto" w:fill="auto"/>
            <w:vAlign w:val="center"/>
          </w:tcPr>
          <w:p w14:paraId="7562D86A" w14:textId="2A1E8467"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1</w:t>
            </w:r>
          </w:p>
        </w:tc>
        <w:tc>
          <w:tcPr>
            <w:tcW w:w="346" w:type="pct"/>
            <w:shd w:val="clear" w:color="auto" w:fill="auto"/>
            <w:vAlign w:val="center"/>
          </w:tcPr>
          <w:p w14:paraId="6C154C9F" w14:textId="6FCA3FF4"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0</w:t>
            </w:r>
          </w:p>
        </w:tc>
        <w:tc>
          <w:tcPr>
            <w:tcW w:w="347" w:type="pct"/>
            <w:shd w:val="clear" w:color="auto" w:fill="auto"/>
            <w:vAlign w:val="center"/>
          </w:tcPr>
          <w:p w14:paraId="0829622E" w14:textId="3D0459FE"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0</w:t>
            </w:r>
          </w:p>
        </w:tc>
        <w:tc>
          <w:tcPr>
            <w:tcW w:w="358" w:type="pct"/>
            <w:shd w:val="clear" w:color="auto" w:fill="auto"/>
            <w:vAlign w:val="center"/>
          </w:tcPr>
          <w:p w14:paraId="36A84046" w14:textId="6AFD43E8"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1</w:t>
            </w:r>
          </w:p>
        </w:tc>
        <w:tc>
          <w:tcPr>
            <w:tcW w:w="348" w:type="pct"/>
            <w:shd w:val="clear" w:color="auto" w:fill="auto"/>
            <w:vAlign w:val="center"/>
          </w:tcPr>
          <w:p w14:paraId="6FB694CB" w14:textId="112304EF"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0</w:t>
            </w:r>
          </w:p>
        </w:tc>
        <w:tc>
          <w:tcPr>
            <w:tcW w:w="348" w:type="pct"/>
            <w:shd w:val="clear" w:color="auto" w:fill="auto"/>
            <w:vAlign w:val="center"/>
          </w:tcPr>
          <w:p w14:paraId="4A772801" w14:textId="0780FCCD"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4"/>
                <w:szCs w:val="24"/>
              </w:rPr>
              <w:t>0</w:t>
            </w:r>
          </w:p>
        </w:tc>
        <w:tc>
          <w:tcPr>
            <w:tcW w:w="348" w:type="pct"/>
            <w:shd w:val="clear" w:color="auto" w:fill="auto"/>
            <w:vAlign w:val="center"/>
          </w:tcPr>
          <w:p w14:paraId="58469CBB" w14:textId="7A6EEBE2"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0</w:t>
            </w:r>
          </w:p>
        </w:tc>
        <w:tc>
          <w:tcPr>
            <w:tcW w:w="358" w:type="pct"/>
            <w:shd w:val="clear" w:color="auto" w:fill="auto"/>
            <w:vAlign w:val="center"/>
          </w:tcPr>
          <w:p w14:paraId="27F7A121" w14:textId="0C5C2BC6"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sidRPr="008B71C7">
              <w:rPr>
                <w:rFonts w:ascii="Times New Roman" w:eastAsia="等线" w:hAnsi="Times New Roman" w:cs="Times New Roman"/>
                <w:color w:val="000000"/>
                <w:sz w:val="24"/>
                <w:szCs w:val="24"/>
              </w:rPr>
              <w:t>1</w:t>
            </w:r>
          </w:p>
        </w:tc>
        <w:tc>
          <w:tcPr>
            <w:tcW w:w="348" w:type="pct"/>
            <w:shd w:val="clear" w:color="auto" w:fill="auto"/>
            <w:vAlign w:val="center"/>
          </w:tcPr>
          <w:p w14:paraId="61ED37BE" w14:textId="47080958"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0</w:t>
            </w:r>
          </w:p>
        </w:tc>
        <w:tc>
          <w:tcPr>
            <w:tcW w:w="358" w:type="pct"/>
            <w:shd w:val="clear" w:color="auto" w:fill="auto"/>
            <w:vAlign w:val="center"/>
          </w:tcPr>
          <w:p w14:paraId="64805C2C" w14:textId="1A5B5A93"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4</w:t>
            </w:r>
          </w:p>
        </w:tc>
        <w:tc>
          <w:tcPr>
            <w:tcW w:w="344" w:type="pct"/>
            <w:shd w:val="clear" w:color="auto" w:fill="auto"/>
            <w:vAlign w:val="center"/>
          </w:tcPr>
          <w:p w14:paraId="2B5CF042" w14:textId="3DAE7891"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0</w:t>
            </w:r>
          </w:p>
        </w:tc>
        <w:tc>
          <w:tcPr>
            <w:tcW w:w="344" w:type="pct"/>
            <w:vAlign w:val="center"/>
          </w:tcPr>
          <w:p w14:paraId="0752439C" w14:textId="6A13F339" w:rsidR="007111F2" w:rsidRPr="00C1181A" w:rsidRDefault="007111F2" w:rsidP="007111F2">
            <w:pPr>
              <w:spacing w:line="300" w:lineRule="exact"/>
              <w:ind w:leftChars="-20" w:left="-42" w:rightChars="-20" w:right="-42"/>
              <w:jc w:val="center"/>
              <w:rPr>
                <w:rFonts w:ascii="Times New Roman" w:eastAsia="等线" w:hAnsi="Times New Roman" w:cs="Times New Roman"/>
                <w:color w:val="000000"/>
                <w:sz w:val="22"/>
              </w:rPr>
            </w:pPr>
            <w:r>
              <w:rPr>
                <w:rFonts w:ascii="Times New Roman" w:eastAsia="等线" w:hAnsi="Times New Roman" w:cs="Times New Roman"/>
                <w:color w:val="000000"/>
                <w:sz w:val="24"/>
                <w:szCs w:val="24"/>
              </w:rPr>
              <w:t>7</w:t>
            </w:r>
          </w:p>
        </w:tc>
      </w:tr>
      <w:tr w:rsidR="007111F2" w:rsidRPr="00B567C3" w14:paraId="5D9E04F4" w14:textId="79F85B42" w:rsidTr="0083313E">
        <w:trPr>
          <w:trHeight w:val="600"/>
          <w:jc w:val="center"/>
        </w:trPr>
        <w:tc>
          <w:tcPr>
            <w:tcW w:w="795" w:type="pct"/>
            <w:shd w:val="clear" w:color="auto" w:fill="auto"/>
            <w:vAlign w:val="center"/>
          </w:tcPr>
          <w:p w14:paraId="089A3FA6" w14:textId="77777777" w:rsidR="007111F2" w:rsidRPr="00FB0069" w:rsidRDefault="007111F2" w:rsidP="007111F2">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超标企业占比（%）</w:t>
            </w:r>
          </w:p>
        </w:tc>
        <w:tc>
          <w:tcPr>
            <w:tcW w:w="358" w:type="pct"/>
            <w:shd w:val="clear" w:color="auto" w:fill="auto"/>
            <w:vAlign w:val="center"/>
          </w:tcPr>
          <w:p w14:paraId="2ED441BC" w14:textId="6954313C"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4.3</w:t>
            </w:r>
          </w:p>
        </w:tc>
        <w:tc>
          <w:tcPr>
            <w:tcW w:w="346" w:type="pct"/>
            <w:shd w:val="clear" w:color="auto" w:fill="auto"/>
            <w:vAlign w:val="center"/>
          </w:tcPr>
          <w:p w14:paraId="1FEA9055" w14:textId="5DF1AD7A"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sidRPr="008B71C7">
              <w:rPr>
                <w:rFonts w:ascii="Times New Roman" w:eastAsia="等线" w:hAnsi="Times New Roman" w:cs="Times New Roman"/>
                <w:color w:val="000000"/>
                <w:sz w:val="24"/>
                <w:szCs w:val="24"/>
              </w:rPr>
              <w:t>/</w:t>
            </w:r>
          </w:p>
        </w:tc>
        <w:tc>
          <w:tcPr>
            <w:tcW w:w="347" w:type="pct"/>
            <w:shd w:val="clear" w:color="auto" w:fill="auto"/>
            <w:vAlign w:val="center"/>
          </w:tcPr>
          <w:p w14:paraId="04AFC7DA" w14:textId="1B9903A1"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sidRPr="008B71C7">
              <w:rPr>
                <w:rFonts w:ascii="Times New Roman" w:eastAsia="等线" w:hAnsi="Times New Roman" w:cs="Times New Roman"/>
                <w:color w:val="000000"/>
                <w:sz w:val="24"/>
                <w:szCs w:val="24"/>
              </w:rPr>
              <w:t>/</w:t>
            </w:r>
          </w:p>
        </w:tc>
        <w:tc>
          <w:tcPr>
            <w:tcW w:w="358" w:type="pct"/>
            <w:shd w:val="clear" w:color="auto" w:fill="auto"/>
            <w:vAlign w:val="center"/>
          </w:tcPr>
          <w:p w14:paraId="6692A7CC" w14:textId="582CF6F4"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4.3</w:t>
            </w:r>
          </w:p>
        </w:tc>
        <w:tc>
          <w:tcPr>
            <w:tcW w:w="348" w:type="pct"/>
            <w:shd w:val="clear" w:color="auto" w:fill="auto"/>
            <w:vAlign w:val="center"/>
          </w:tcPr>
          <w:p w14:paraId="233C2064" w14:textId="500AC2B6"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w:t>
            </w:r>
          </w:p>
        </w:tc>
        <w:tc>
          <w:tcPr>
            <w:tcW w:w="348" w:type="pct"/>
            <w:shd w:val="clear" w:color="auto" w:fill="auto"/>
            <w:vAlign w:val="center"/>
          </w:tcPr>
          <w:p w14:paraId="54B369A7" w14:textId="47DC9250"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w:t>
            </w:r>
          </w:p>
        </w:tc>
        <w:tc>
          <w:tcPr>
            <w:tcW w:w="348" w:type="pct"/>
            <w:shd w:val="clear" w:color="auto" w:fill="auto"/>
            <w:vAlign w:val="center"/>
          </w:tcPr>
          <w:p w14:paraId="01E916E5" w14:textId="73E5EADD"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sidRPr="008B71C7">
              <w:rPr>
                <w:rFonts w:ascii="Times New Roman" w:eastAsia="等线" w:hAnsi="Times New Roman" w:cs="Times New Roman"/>
                <w:color w:val="000000"/>
                <w:sz w:val="24"/>
                <w:szCs w:val="24"/>
              </w:rPr>
              <w:t>/</w:t>
            </w:r>
          </w:p>
        </w:tc>
        <w:tc>
          <w:tcPr>
            <w:tcW w:w="358" w:type="pct"/>
            <w:shd w:val="clear" w:color="auto" w:fill="auto"/>
            <w:vAlign w:val="center"/>
          </w:tcPr>
          <w:p w14:paraId="661FFFE5" w14:textId="56701E63"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4.3</w:t>
            </w:r>
          </w:p>
        </w:tc>
        <w:tc>
          <w:tcPr>
            <w:tcW w:w="348" w:type="pct"/>
            <w:shd w:val="clear" w:color="auto" w:fill="auto"/>
            <w:vAlign w:val="center"/>
          </w:tcPr>
          <w:p w14:paraId="74A8D094" w14:textId="264AB0C8"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4"/>
                <w:szCs w:val="24"/>
              </w:rPr>
              <w:t>/</w:t>
            </w:r>
          </w:p>
        </w:tc>
        <w:tc>
          <w:tcPr>
            <w:tcW w:w="358" w:type="pct"/>
            <w:shd w:val="clear" w:color="auto" w:fill="auto"/>
            <w:vAlign w:val="center"/>
          </w:tcPr>
          <w:p w14:paraId="0B56AD30" w14:textId="1A6CA2F4"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仿宋_GB2312" w:hAnsi="Times New Roman" w:cs="Times New Roman"/>
                <w:bCs/>
                <w:kern w:val="44"/>
                <w:sz w:val="24"/>
                <w:szCs w:val="24"/>
              </w:rPr>
              <w:t>57.1</w:t>
            </w:r>
          </w:p>
        </w:tc>
        <w:tc>
          <w:tcPr>
            <w:tcW w:w="344" w:type="pct"/>
            <w:shd w:val="clear" w:color="auto" w:fill="auto"/>
            <w:vAlign w:val="center"/>
          </w:tcPr>
          <w:p w14:paraId="173EC1D0" w14:textId="54B42A41" w:rsidR="007111F2" w:rsidRPr="00FB0069" w:rsidRDefault="007111F2" w:rsidP="007111F2">
            <w:pPr>
              <w:spacing w:line="300" w:lineRule="exact"/>
              <w:ind w:leftChars="-20" w:left="-42" w:rightChars="-20" w:right="-42"/>
              <w:jc w:val="center"/>
              <w:rPr>
                <w:rFonts w:ascii="Times New Roman" w:eastAsia="仿宋_GB2312" w:hAnsi="Times New Roman" w:cs="Times New Roman"/>
                <w:bCs/>
                <w:kern w:val="44"/>
                <w:sz w:val="22"/>
              </w:rPr>
            </w:pPr>
            <w:r w:rsidRPr="008B71C7">
              <w:rPr>
                <w:rFonts w:ascii="Times New Roman" w:eastAsia="等线" w:hAnsi="Times New Roman" w:cs="Times New Roman"/>
                <w:color w:val="000000"/>
                <w:sz w:val="24"/>
                <w:szCs w:val="24"/>
              </w:rPr>
              <w:t>/</w:t>
            </w:r>
          </w:p>
        </w:tc>
        <w:tc>
          <w:tcPr>
            <w:tcW w:w="344" w:type="pct"/>
            <w:vAlign w:val="center"/>
          </w:tcPr>
          <w:p w14:paraId="47D1FDE5" w14:textId="1A66C04E" w:rsidR="007111F2" w:rsidRPr="00C1181A" w:rsidRDefault="007111F2" w:rsidP="007111F2">
            <w:pPr>
              <w:spacing w:line="300" w:lineRule="exact"/>
              <w:ind w:leftChars="-20" w:left="-42" w:rightChars="-20" w:right="-42"/>
              <w:jc w:val="center"/>
              <w:rPr>
                <w:rFonts w:ascii="Times New Roman" w:eastAsia="等线" w:hAnsi="Times New Roman" w:cs="Times New Roman"/>
                <w:color w:val="000000"/>
                <w:sz w:val="22"/>
              </w:rPr>
            </w:pPr>
            <w:r w:rsidRPr="008B71C7">
              <w:rPr>
                <w:rFonts w:ascii="Times New Roman" w:eastAsia="等线" w:hAnsi="Times New Roman" w:cs="Times New Roman"/>
                <w:color w:val="000000"/>
                <w:sz w:val="24"/>
                <w:szCs w:val="24"/>
              </w:rPr>
              <w:t>/</w:t>
            </w:r>
          </w:p>
        </w:tc>
      </w:tr>
    </w:tbl>
    <w:p w14:paraId="6CC5C866" w14:textId="2982820D" w:rsidR="00FB0069" w:rsidRDefault="0083313E" w:rsidP="00630A51">
      <w:pPr>
        <w:jc w:val="center"/>
        <w:rPr>
          <w:rFonts w:ascii="仿宋_GB2312" w:eastAsia="仿宋_GB2312" w:hAnsi="华文楷体"/>
          <w:b/>
          <w:bCs/>
          <w:kern w:val="44"/>
          <w:sz w:val="24"/>
          <w:szCs w:val="24"/>
        </w:rPr>
      </w:pPr>
      <w:r>
        <w:rPr>
          <w:noProof/>
        </w:rPr>
        <w:drawing>
          <wp:inline distT="0" distB="0" distL="0" distR="0" wp14:anchorId="4507DBB1" wp14:editId="71B1FE1A">
            <wp:extent cx="4981575" cy="3028950"/>
            <wp:effectExtent l="0" t="0" r="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3E23FEC" w14:textId="0EC40537" w:rsidR="00B567C3" w:rsidRPr="00FE39F2" w:rsidRDefault="009070ED" w:rsidP="00630A51">
      <w:pPr>
        <w:jc w:val="center"/>
        <w:rPr>
          <w:rFonts w:ascii="仿宋_GB2312" w:eastAsia="仿宋_GB2312" w:hAnsi="华文楷体"/>
          <w:b/>
          <w:bCs/>
          <w:kern w:val="44"/>
          <w:sz w:val="24"/>
          <w:szCs w:val="24"/>
        </w:rPr>
      </w:pPr>
      <w:r>
        <w:rPr>
          <w:noProof/>
        </w:rPr>
        <w:drawing>
          <wp:anchor distT="0" distB="0" distL="114300" distR="114300" simplePos="0" relativeHeight="251710464" behindDoc="0" locked="0" layoutInCell="1" allowOverlap="1" wp14:anchorId="11DFA020" wp14:editId="0D979CB4">
            <wp:simplePos x="0" y="0"/>
            <wp:positionH relativeFrom="margin">
              <wp:posOffset>-609600</wp:posOffset>
            </wp:positionH>
            <wp:positionV relativeFrom="paragraph">
              <wp:posOffset>294640</wp:posOffset>
            </wp:positionV>
            <wp:extent cx="5550535" cy="2220595"/>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anchor>
        </w:drawing>
      </w:r>
      <w:r w:rsidR="00B567C3" w:rsidRPr="00B567C3">
        <w:rPr>
          <w:rFonts w:ascii="仿宋_GB2312" w:eastAsia="仿宋_GB2312" w:hAnsi="华文楷体" w:hint="eastAsia"/>
          <w:b/>
          <w:bCs/>
          <w:kern w:val="44"/>
          <w:sz w:val="24"/>
          <w:szCs w:val="24"/>
        </w:rPr>
        <w:t>图</w:t>
      </w:r>
      <w:r w:rsidR="00B567C3" w:rsidRPr="00B567C3">
        <w:rPr>
          <w:rFonts w:ascii="Times New Roman" w:eastAsia="仿宋_GB2312" w:hAnsi="Times New Roman" w:cs="Times New Roman"/>
          <w:b/>
          <w:bCs/>
          <w:kern w:val="44"/>
          <w:sz w:val="24"/>
          <w:szCs w:val="24"/>
        </w:rPr>
        <w:t>1</w:t>
      </w:r>
      <w:r w:rsidR="00F74D13">
        <w:rPr>
          <w:rFonts w:ascii="Times New Roman" w:eastAsia="仿宋_GB2312" w:hAnsi="Times New Roman" w:cs="Times New Roman"/>
          <w:b/>
          <w:bCs/>
          <w:kern w:val="44"/>
          <w:sz w:val="24"/>
          <w:szCs w:val="24"/>
        </w:rPr>
        <w:t>2</w:t>
      </w:r>
      <w:r w:rsidR="00B567C3" w:rsidRPr="00B567C3">
        <w:rPr>
          <w:rFonts w:ascii="仿宋_GB2312" w:eastAsia="仿宋_GB2312" w:hAnsi="华文楷体" w:hint="eastAsia"/>
          <w:b/>
          <w:bCs/>
          <w:kern w:val="44"/>
          <w:sz w:val="24"/>
          <w:szCs w:val="24"/>
        </w:rPr>
        <w:t xml:space="preserve">  </w:t>
      </w:r>
      <w:r w:rsidR="00630A51">
        <w:rPr>
          <w:rFonts w:ascii="仿宋_GB2312" w:eastAsia="仿宋_GB2312" w:hAnsi="华文楷体"/>
          <w:b/>
          <w:bCs/>
          <w:kern w:val="44"/>
          <w:sz w:val="24"/>
          <w:szCs w:val="24"/>
        </w:rPr>
        <w:t xml:space="preserve">  </w:t>
      </w:r>
      <w:r w:rsidR="00B567C3">
        <w:rPr>
          <w:rFonts w:ascii="仿宋_GB2312" w:eastAsia="仿宋_GB2312" w:hAnsi="华文楷体" w:hint="eastAsia"/>
          <w:b/>
          <w:bCs/>
          <w:kern w:val="44"/>
          <w:sz w:val="24"/>
          <w:szCs w:val="24"/>
        </w:rPr>
        <w:t>有组织</w:t>
      </w:r>
      <w:r w:rsidR="00B567C3" w:rsidRPr="00B567C3">
        <w:rPr>
          <w:rFonts w:ascii="仿宋_GB2312" w:eastAsia="仿宋_GB2312" w:hAnsi="华文楷体" w:hint="eastAsia"/>
          <w:b/>
          <w:bCs/>
          <w:kern w:val="44"/>
          <w:sz w:val="24"/>
          <w:szCs w:val="24"/>
        </w:rPr>
        <w:t>废气</w:t>
      </w:r>
      <w:r w:rsidR="00753C93">
        <w:rPr>
          <w:rFonts w:ascii="仿宋_GB2312" w:eastAsia="仿宋_GB2312" w:hAnsi="华文楷体" w:hint="eastAsia"/>
          <w:b/>
          <w:bCs/>
          <w:kern w:val="44"/>
          <w:sz w:val="24"/>
          <w:szCs w:val="24"/>
        </w:rPr>
        <w:t>分行业超标情况</w:t>
      </w:r>
    </w:p>
    <w:p w14:paraId="3798D7EB" w14:textId="1AD23FA5" w:rsidR="00911143" w:rsidRPr="0074426B" w:rsidRDefault="00911143" w:rsidP="0074426B">
      <w:pPr>
        <w:ind w:leftChars="-135" w:left="42" w:hangingChars="135" w:hanging="325"/>
        <w:jc w:val="center"/>
        <w:rPr>
          <w:rFonts w:ascii="Times New Roman" w:eastAsia="仿宋_GB2312" w:hAnsi="Times New Roman" w:cs="Times New Roman"/>
          <w:b/>
          <w:bCs/>
          <w:kern w:val="44"/>
          <w:sz w:val="28"/>
          <w:szCs w:val="28"/>
        </w:rPr>
      </w:pPr>
      <w:r w:rsidRPr="00CC5182">
        <w:rPr>
          <w:rFonts w:ascii="仿宋_GB2312" w:eastAsia="仿宋_GB2312" w:hAnsi="华文楷体" w:hint="eastAsia"/>
          <w:b/>
          <w:bCs/>
          <w:kern w:val="44"/>
          <w:sz w:val="24"/>
          <w:szCs w:val="24"/>
        </w:rPr>
        <w:t>图</w:t>
      </w:r>
      <w:r w:rsidRPr="00CB4B46">
        <w:rPr>
          <w:rFonts w:ascii="Times New Roman" w:eastAsia="仿宋_GB2312" w:hAnsi="Times New Roman" w:cs="Times New Roman"/>
          <w:b/>
          <w:bCs/>
          <w:kern w:val="44"/>
          <w:sz w:val="24"/>
          <w:szCs w:val="24"/>
        </w:rPr>
        <w:t>1</w:t>
      </w:r>
      <w:r>
        <w:rPr>
          <w:rFonts w:ascii="Times New Roman" w:eastAsia="仿宋_GB2312" w:hAnsi="Times New Roman" w:cs="Times New Roman"/>
          <w:b/>
          <w:bCs/>
          <w:kern w:val="44"/>
          <w:sz w:val="24"/>
          <w:szCs w:val="24"/>
        </w:rPr>
        <w:t>3</w:t>
      </w:r>
      <w:r w:rsidRPr="00CC5182">
        <w:rPr>
          <w:rFonts w:ascii="仿宋_GB2312" w:eastAsia="仿宋_GB2312" w:hAnsi="华文楷体" w:hint="eastAsia"/>
          <w:b/>
          <w:bCs/>
          <w:kern w:val="44"/>
          <w:sz w:val="24"/>
          <w:szCs w:val="24"/>
        </w:rPr>
        <w:t xml:space="preserve">  </w:t>
      </w:r>
      <w:r w:rsidR="00325C12">
        <w:rPr>
          <w:rFonts w:ascii="仿宋_GB2312" w:eastAsia="仿宋_GB2312" w:hAnsi="华文楷体"/>
          <w:b/>
          <w:bCs/>
          <w:kern w:val="44"/>
          <w:sz w:val="24"/>
          <w:szCs w:val="24"/>
        </w:rPr>
        <w:t xml:space="preserve"> </w:t>
      </w:r>
      <w:r w:rsidR="00630A51">
        <w:rPr>
          <w:rFonts w:ascii="仿宋_GB2312" w:eastAsia="仿宋_GB2312" w:hAnsi="华文楷体"/>
          <w:b/>
          <w:bCs/>
          <w:kern w:val="44"/>
          <w:sz w:val="24"/>
          <w:szCs w:val="24"/>
        </w:rPr>
        <w:t xml:space="preserve"> </w:t>
      </w:r>
      <w:r>
        <w:rPr>
          <w:rFonts w:ascii="仿宋_GB2312" w:eastAsia="仿宋_GB2312" w:hAnsi="华文楷体" w:hint="eastAsia"/>
          <w:b/>
          <w:bCs/>
          <w:kern w:val="44"/>
          <w:sz w:val="24"/>
          <w:szCs w:val="24"/>
        </w:rPr>
        <w:t>有组织</w:t>
      </w:r>
      <w:r w:rsidRPr="00CC5182">
        <w:rPr>
          <w:rFonts w:ascii="仿宋_GB2312" w:eastAsia="仿宋_GB2312" w:hAnsi="华文楷体" w:hint="eastAsia"/>
          <w:b/>
          <w:bCs/>
          <w:kern w:val="44"/>
          <w:sz w:val="24"/>
          <w:szCs w:val="24"/>
        </w:rPr>
        <w:t>废气</w:t>
      </w:r>
      <w:r w:rsidR="00753C93">
        <w:rPr>
          <w:rFonts w:ascii="仿宋_GB2312" w:eastAsia="仿宋_GB2312" w:hAnsi="华文楷体" w:hint="eastAsia"/>
          <w:b/>
          <w:bCs/>
          <w:kern w:val="44"/>
          <w:sz w:val="24"/>
          <w:szCs w:val="24"/>
        </w:rPr>
        <w:t>分指标超标情况</w:t>
      </w:r>
    </w:p>
    <w:p w14:paraId="3B26817E" w14:textId="29BD0EC4" w:rsidR="00485D78" w:rsidRPr="00317502" w:rsidRDefault="006A7CB9" w:rsidP="00F70D6C">
      <w:pPr>
        <w:spacing w:line="560" w:lineRule="exact"/>
        <w:ind w:firstLineChars="200" w:firstLine="560"/>
        <w:rPr>
          <w:rFonts w:ascii="Times New Roman" w:eastAsia="仿宋_GB2312" w:hAnsi="Times New Roman" w:cs="Times New Roman"/>
          <w:bCs/>
          <w:kern w:val="44"/>
          <w:sz w:val="28"/>
          <w:szCs w:val="28"/>
        </w:rPr>
      </w:pPr>
      <w:r w:rsidRPr="00317502">
        <w:rPr>
          <w:rFonts w:ascii="Times New Roman" w:eastAsia="仿宋_GB2312" w:hAnsi="Times New Roman" w:cs="Times New Roman" w:hint="eastAsia"/>
          <w:bCs/>
          <w:kern w:val="44"/>
          <w:sz w:val="28"/>
          <w:szCs w:val="28"/>
        </w:rPr>
        <w:t>2</w:t>
      </w:r>
      <w:r w:rsidR="00317502">
        <w:rPr>
          <w:rFonts w:ascii="Times New Roman" w:eastAsia="仿宋_GB2312" w:hAnsi="Times New Roman" w:cs="Times New Roman" w:hint="eastAsia"/>
          <w:bCs/>
          <w:kern w:val="44"/>
          <w:sz w:val="28"/>
          <w:szCs w:val="28"/>
        </w:rPr>
        <w:t>.</w:t>
      </w:r>
      <w:r w:rsidR="00B07E9C" w:rsidRPr="00317502">
        <w:rPr>
          <w:rFonts w:ascii="Times New Roman" w:eastAsia="仿宋_GB2312" w:hAnsi="Times New Roman" w:cs="Times New Roman"/>
          <w:bCs/>
          <w:kern w:val="44"/>
          <w:sz w:val="28"/>
          <w:szCs w:val="28"/>
        </w:rPr>
        <w:t>无组织</w:t>
      </w:r>
      <w:r w:rsidR="00880DDA">
        <w:rPr>
          <w:rFonts w:ascii="Times New Roman" w:eastAsia="仿宋_GB2312" w:hAnsi="Times New Roman" w:cs="Times New Roman" w:hint="eastAsia"/>
          <w:bCs/>
          <w:kern w:val="44"/>
          <w:sz w:val="28"/>
          <w:szCs w:val="28"/>
        </w:rPr>
        <w:t>排放</w:t>
      </w:r>
      <w:r w:rsidR="00B07E9C" w:rsidRPr="00317502">
        <w:rPr>
          <w:rFonts w:ascii="Times New Roman" w:eastAsia="仿宋_GB2312" w:hAnsi="Times New Roman" w:cs="Times New Roman"/>
          <w:bCs/>
          <w:kern w:val="44"/>
          <w:sz w:val="28"/>
          <w:szCs w:val="28"/>
        </w:rPr>
        <w:t>监测情况</w:t>
      </w:r>
    </w:p>
    <w:p w14:paraId="4F42A247" w14:textId="4EA55CAA" w:rsidR="00B07E9C" w:rsidRPr="00E95B6F" w:rsidRDefault="003B35FF" w:rsidP="00F70D6C">
      <w:pPr>
        <w:spacing w:line="56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bCs/>
          <w:kern w:val="44"/>
          <w:sz w:val="28"/>
          <w:szCs w:val="28"/>
        </w:rPr>
        <w:t>11</w:t>
      </w:r>
      <w:r w:rsidR="00B07E9C" w:rsidRPr="00E95B6F">
        <w:rPr>
          <w:rFonts w:ascii="Times New Roman" w:eastAsia="仿宋_GB2312" w:hAnsi="Times New Roman" w:cs="Times New Roman"/>
          <w:bCs/>
          <w:kern w:val="44"/>
          <w:sz w:val="28"/>
          <w:szCs w:val="28"/>
        </w:rPr>
        <w:t>个</w:t>
      </w:r>
      <w:r w:rsidR="00B97AF2">
        <w:rPr>
          <w:rFonts w:ascii="Times New Roman" w:eastAsia="仿宋_GB2312" w:hAnsi="Times New Roman" w:cs="Times New Roman" w:hint="eastAsia"/>
          <w:bCs/>
          <w:kern w:val="44"/>
          <w:sz w:val="28"/>
          <w:szCs w:val="28"/>
        </w:rPr>
        <w:t>设区</w:t>
      </w:r>
      <w:r w:rsidR="00B07E9C" w:rsidRPr="00E95B6F">
        <w:rPr>
          <w:rFonts w:ascii="Times New Roman" w:eastAsia="仿宋_GB2312" w:hAnsi="Times New Roman" w:cs="Times New Roman"/>
          <w:bCs/>
          <w:kern w:val="44"/>
          <w:sz w:val="28"/>
          <w:szCs w:val="28"/>
        </w:rPr>
        <w:t>市</w:t>
      </w:r>
      <w:r w:rsidR="00B97AF2">
        <w:rPr>
          <w:rFonts w:ascii="Times New Roman" w:eastAsia="仿宋_GB2312" w:hAnsi="Times New Roman" w:cs="Times New Roman" w:hint="eastAsia"/>
          <w:bCs/>
          <w:kern w:val="44"/>
          <w:sz w:val="28"/>
          <w:szCs w:val="28"/>
        </w:rPr>
        <w:t>均</w:t>
      </w:r>
      <w:r w:rsidR="00B07E9C" w:rsidRPr="00E95B6F">
        <w:rPr>
          <w:rFonts w:ascii="Times New Roman" w:eastAsia="仿宋_GB2312" w:hAnsi="Times New Roman" w:cs="Times New Roman"/>
          <w:bCs/>
          <w:kern w:val="44"/>
          <w:sz w:val="28"/>
          <w:szCs w:val="28"/>
        </w:rPr>
        <w:t>开展了废气无组织</w:t>
      </w:r>
      <w:r w:rsidR="008F2F85">
        <w:rPr>
          <w:rFonts w:ascii="Times New Roman" w:eastAsia="仿宋_GB2312" w:hAnsi="Times New Roman" w:cs="Times New Roman" w:hint="eastAsia"/>
          <w:bCs/>
          <w:kern w:val="44"/>
          <w:sz w:val="28"/>
          <w:szCs w:val="28"/>
        </w:rPr>
        <w:t>排放</w:t>
      </w:r>
      <w:r w:rsidR="00B07E9C" w:rsidRPr="00E95B6F">
        <w:rPr>
          <w:rFonts w:ascii="Times New Roman" w:eastAsia="仿宋_GB2312" w:hAnsi="Times New Roman" w:cs="Times New Roman"/>
          <w:bCs/>
          <w:kern w:val="44"/>
          <w:sz w:val="28"/>
          <w:szCs w:val="28"/>
        </w:rPr>
        <w:t>监测，</w:t>
      </w:r>
      <w:r w:rsidR="0074426B">
        <w:rPr>
          <w:rFonts w:ascii="Times New Roman" w:eastAsia="仿宋_GB2312" w:hAnsi="Times New Roman" w:cs="Times New Roman" w:hint="eastAsia"/>
          <w:bCs/>
          <w:kern w:val="44"/>
          <w:sz w:val="28"/>
          <w:szCs w:val="28"/>
        </w:rPr>
        <w:t>监测单位</w:t>
      </w:r>
      <w:r w:rsidR="00B07E9C" w:rsidRPr="00E95B6F">
        <w:rPr>
          <w:rFonts w:ascii="Times New Roman" w:eastAsia="仿宋_GB2312" w:hAnsi="Times New Roman" w:cs="Times New Roman"/>
          <w:bCs/>
          <w:kern w:val="44"/>
          <w:sz w:val="28"/>
          <w:szCs w:val="28"/>
        </w:rPr>
        <w:t>数为</w:t>
      </w:r>
      <w:r w:rsidR="00FA2B86">
        <w:rPr>
          <w:rFonts w:ascii="Times New Roman" w:eastAsia="仿宋_GB2312" w:hAnsi="Times New Roman" w:cs="Times New Roman"/>
          <w:bCs/>
          <w:kern w:val="44"/>
          <w:sz w:val="28"/>
          <w:szCs w:val="28"/>
        </w:rPr>
        <w:t>6</w:t>
      </w:r>
      <w:r w:rsidR="00972247">
        <w:rPr>
          <w:rFonts w:ascii="Times New Roman" w:eastAsia="仿宋_GB2312" w:hAnsi="Times New Roman" w:cs="Times New Roman"/>
          <w:bCs/>
          <w:kern w:val="44"/>
          <w:sz w:val="28"/>
          <w:szCs w:val="28"/>
        </w:rPr>
        <w:t>76</w:t>
      </w:r>
      <w:r w:rsidR="00B07E9C" w:rsidRPr="00E95B6F">
        <w:rPr>
          <w:rFonts w:ascii="Times New Roman" w:eastAsia="仿宋_GB2312" w:hAnsi="Times New Roman" w:cs="Times New Roman"/>
          <w:bCs/>
          <w:kern w:val="44"/>
          <w:sz w:val="28"/>
          <w:szCs w:val="28"/>
        </w:rPr>
        <w:t>家，达标率为</w:t>
      </w:r>
      <w:r w:rsidR="00B07E9C" w:rsidRPr="00E95B6F">
        <w:rPr>
          <w:rFonts w:ascii="Times New Roman" w:eastAsia="仿宋_GB2312" w:hAnsi="Times New Roman" w:cs="Times New Roman"/>
          <w:bCs/>
          <w:kern w:val="44"/>
          <w:sz w:val="28"/>
          <w:szCs w:val="28"/>
        </w:rPr>
        <w:t>9</w:t>
      </w:r>
      <w:r w:rsidR="00972247">
        <w:rPr>
          <w:rFonts w:ascii="Times New Roman" w:eastAsia="仿宋_GB2312" w:hAnsi="Times New Roman" w:cs="Times New Roman"/>
          <w:bCs/>
          <w:kern w:val="44"/>
          <w:sz w:val="28"/>
          <w:szCs w:val="28"/>
        </w:rPr>
        <w:t>9.7</w:t>
      </w:r>
      <w:r w:rsidR="00B07E9C" w:rsidRPr="00E95B6F">
        <w:rPr>
          <w:rFonts w:ascii="Times New Roman" w:eastAsia="仿宋_GB2312" w:hAnsi="Times New Roman" w:cs="Times New Roman"/>
          <w:bCs/>
          <w:kern w:val="44"/>
          <w:sz w:val="28"/>
          <w:szCs w:val="28"/>
        </w:rPr>
        <w:t>%</w:t>
      </w:r>
      <w:r w:rsidR="00FA2B86">
        <w:rPr>
          <w:rFonts w:ascii="Times New Roman" w:eastAsia="仿宋_GB2312" w:hAnsi="Times New Roman" w:cs="Times New Roman" w:hint="eastAsia"/>
          <w:bCs/>
          <w:kern w:val="44"/>
          <w:sz w:val="28"/>
          <w:szCs w:val="28"/>
        </w:rPr>
        <w:t>，较上年</w:t>
      </w:r>
      <w:r w:rsidR="00972247">
        <w:rPr>
          <w:rFonts w:ascii="Times New Roman" w:eastAsia="仿宋_GB2312" w:hAnsi="Times New Roman" w:cs="Times New Roman" w:hint="eastAsia"/>
          <w:bCs/>
          <w:kern w:val="44"/>
          <w:sz w:val="28"/>
          <w:szCs w:val="28"/>
        </w:rPr>
        <w:t>下降</w:t>
      </w:r>
      <w:r w:rsidR="00972247">
        <w:rPr>
          <w:rFonts w:ascii="Times New Roman" w:eastAsia="仿宋_GB2312" w:hAnsi="Times New Roman" w:cs="Times New Roman" w:hint="eastAsia"/>
          <w:bCs/>
          <w:kern w:val="44"/>
          <w:sz w:val="28"/>
          <w:szCs w:val="28"/>
        </w:rPr>
        <w:t>0</w:t>
      </w:r>
      <w:r w:rsidR="00972247">
        <w:rPr>
          <w:rFonts w:ascii="Times New Roman" w:eastAsia="仿宋_GB2312" w:hAnsi="Times New Roman" w:cs="Times New Roman"/>
          <w:bCs/>
          <w:kern w:val="44"/>
          <w:sz w:val="28"/>
          <w:szCs w:val="28"/>
        </w:rPr>
        <w:t>.1</w:t>
      </w:r>
      <w:r w:rsidR="00FA2B86">
        <w:rPr>
          <w:rFonts w:ascii="Times New Roman" w:eastAsia="仿宋_GB2312" w:hAnsi="Times New Roman" w:cs="Times New Roman" w:hint="eastAsia"/>
          <w:bCs/>
          <w:kern w:val="44"/>
          <w:sz w:val="28"/>
          <w:szCs w:val="28"/>
        </w:rPr>
        <w:t>个百分点</w:t>
      </w:r>
      <w:r w:rsidR="00B07E9C" w:rsidRPr="00E95B6F">
        <w:rPr>
          <w:rFonts w:ascii="Times New Roman" w:eastAsia="仿宋_GB2312" w:hAnsi="Times New Roman" w:cs="Times New Roman"/>
          <w:bCs/>
          <w:kern w:val="44"/>
          <w:sz w:val="28"/>
          <w:szCs w:val="28"/>
        </w:rPr>
        <w:t>。</w:t>
      </w:r>
      <w:r w:rsidR="007F031A" w:rsidRPr="00E95B6F">
        <w:rPr>
          <w:rFonts w:ascii="Times New Roman" w:eastAsia="仿宋_GB2312" w:hAnsi="Times New Roman" w:cs="Times New Roman"/>
          <w:bCs/>
          <w:kern w:val="44"/>
          <w:sz w:val="28"/>
          <w:szCs w:val="28"/>
        </w:rPr>
        <w:t>监测达标率范围为</w:t>
      </w:r>
      <w:r w:rsidR="001830A7">
        <w:rPr>
          <w:rFonts w:ascii="Times New Roman" w:eastAsia="仿宋_GB2312" w:hAnsi="Times New Roman" w:cs="Times New Roman"/>
          <w:bCs/>
          <w:kern w:val="44"/>
          <w:sz w:val="28"/>
          <w:szCs w:val="28"/>
        </w:rPr>
        <w:lastRenderedPageBreak/>
        <w:t>9</w:t>
      </w:r>
      <w:r w:rsidR="00B533F0">
        <w:rPr>
          <w:rFonts w:ascii="Times New Roman" w:eastAsia="仿宋_GB2312" w:hAnsi="Times New Roman" w:cs="Times New Roman"/>
          <w:bCs/>
          <w:kern w:val="44"/>
          <w:sz w:val="28"/>
          <w:szCs w:val="28"/>
        </w:rPr>
        <w:t>8.1</w:t>
      </w:r>
      <w:r>
        <w:rPr>
          <w:rFonts w:ascii="Times New Roman" w:eastAsia="仿宋_GB2312" w:hAnsi="Times New Roman" w:cs="Times New Roman"/>
          <w:bCs/>
          <w:kern w:val="44"/>
          <w:sz w:val="28"/>
          <w:szCs w:val="28"/>
        </w:rPr>
        <w:t>%</w:t>
      </w:r>
      <w:r w:rsidR="007F031A" w:rsidRPr="00E95B6F">
        <w:rPr>
          <w:rFonts w:ascii="Times New Roman" w:eastAsia="仿宋_GB2312" w:hAnsi="Times New Roman" w:cs="Times New Roman"/>
          <w:bCs/>
          <w:kern w:val="44"/>
          <w:sz w:val="28"/>
          <w:szCs w:val="28"/>
        </w:rPr>
        <w:t>-100%</w:t>
      </w:r>
      <w:r>
        <w:rPr>
          <w:rFonts w:ascii="Times New Roman" w:eastAsia="仿宋_GB2312" w:hAnsi="Times New Roman" w:cs="Times New Roman" w:hint="eastAsia"/>
          <w:bCs/>
          <w:kern w:val="44"/>
          <w:sz w:val="28"/>
          <w:szCs w:val="28"/>
        </w:rPr>
        <w:t>，其中</w:t>
      </w:r>
      <w:r w:rsidR="00B533F0">
        <w:rPr>
          <w:rFonts w:ascii="Times New Roman" w:eastAsia="仿宋_GB2312" w:hAnsi="Times New Roman" w:cs="Times New Roman" w:hint="eastAsia"/>
          <w:bCs/>
          <w:kern w:val="44"/>
          <w:sz w:val="28"/>
          <w:szCs w:val="28"/>
        </w:rPr>
        <w:t>衢州</w:t>
      </w:r>
      <w:r>
        <w:rPr>
          <w:rFonts w:ascii="Times New Roman" w:eastAsia="仿宋_GB2312" w:hAnsi="Times New Roman" w:cs="Times New Roman" w:hint="eastAsia"/>
          <w:bCs/>
          <w:kern w:val="44"/>
          <w:sz w:val="28"/>
          <w:szCs w:val="28"/>
        </w:rPr>
        <w:t>为</w:t>
      </w:r>
      <w:r w:rsidR="00B533F0">
        <w:rPr>
          <w:rFonts w:ascii="Times New Roman" w:eastAsia="仿宋_GB2312" w:hAnsi="Times New Roman" w:cs="Times New Roman"/>
          <w:bCs/>
          <w:kern w:val="44"/>
          <w:sz w:val="28"/>
          <w:szCs w:val="28"/>
        </w:rPr>
        <w:t>98.1</w:t>
      </w:r>
      <w:r>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w:t>
      </w:r>
      <w:r w:rsidR="00B533F0">
        <w:rPr>
          <w:rFonts w:ascii="Times New Roman" w:eastAsia="仿宋_GB2312" w:hAnsi="Times New Roman" w:cs="Times New Roman" w:hint="eastAsia"/>
          <w:bCs/>
          <w:kern w:val="44"/>
          <w:sz w:val="28"/>
          <w:szCs w:val="28"/>
        </w:rPr>
        <w:t>湖州</w:t>
      </w:r>
      <w:r>
        <w:rPr>
          <w:rFonts w:ascii="Times New Roman" w:eastAsia="仿宋_GB2312" w:hAnsi="Times New Roman" w:cs="Times New Roman" w:hint="eastAsia"/>
          <w:bCs/>
          <w:kern w:val="44"/>
          <w:sz w:val="28"/>
          <w:szCs w:val="28"/>
        </w:rPr>
        <w:t>为</w:t>
      </w:r>
      <w:r>
        <w:rPr>
          <w:rFonts w:ascii="Times New Roman" w:eastAsia="仿宋_GB2312" w:hAnsi="Times New Roman" w:cs="Times New Roman" w:hint="eastAsia"/>
          <w:bCs/>
          <w:kern w:val="44"/>
          <w:sz w:val="28"/>
          <w:szCs w:val="28"/>
        </w:rPr>
        <w:t>9</w:t>
      </w:r>
      <w:r w:rsidR="001830A7">
        <w:rPr>
          <w:rFonts w:ascii="Times New Roman" w:eastAsia="仿宋_GB2312" w:hAnsi="Times New Roman" w:cs="Times New Roman"/>
          <w:bCs/>
          <w:kern w:val="44"/>
          <w:sz w:val="28"/>
          <w:szCs w:val="28"/>
        </w:rPr>
        <w:t>9.</w:t>
      </w:r>
      <w:r w:rsidR="00B533F0">
        <w:rPr>
          <w:rFonts w:ascii="Times New Roman" w:eastAsia="仿宋_GB2312" w:hAnsi="Times New Roman" w:cs="Times New Roman"/>
          <w:bCs/>
          <w:kern w:val="44"/>
          <w:sz w:val="28"/>
          <w:szCs w:val="28"/>
        </w:rPr>
        <w:t>0</w:t>
      </w:r>
      <w:r>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，其余各市均为</w:t>
      </w:r>
      <w:r>
        <w:rPr>
          <w:rFonts w:ascii="Times New Roman" w:eastAsia="仿宋_GB2312" w:hAnsi="Times New Roman" w:cs="Times New Roman" w:hint="eastAsia"/>
          <w:bCs/>
          <w:kern w:val="44"/>
          <w:sz w:val="28"/>
          <w:szCs w:val="28"/>
        </w:rPr>
        <w:t>1</w:t>
      </w:r>
      <w:r>
        <w:rPr>
          <w:rFonts w:ascii="Times New Roman" w:eastAsia="仿宋_GB2312" w:hAnsi="Times New Roman" w:cs="Times New Roman"/>
          <w:bCs/>
          <w:kern w:val="44"/>
          <w:sz w:val="28"/>
          <w:szCs w:val="28"/>
        </w:rPr>
        <w:t>00%</w:t>
      </w:r>
      <w:r w:rsidR="007F031A" w:rsidRPr="00E95B6F">
        <w:rPr>
          <w:rFonts w:ascii="Times New Roman" w:eastAsia="仿宋_GB2312" w:hAnsi="Times New Roman" w:cs="Times New Roman"/>
          <w:bCs/>
          <w:kern w:val="44"/>
          <w:sz w:val="28"/>
          <w:szCs w:val="28"/>
        </w:rPr>
        <w:t>。</w:t>
      </w:r>
    </w:p>
    <w:p w14:paraId="4A586006" w14:textId="03F02F50" w:rsidR="00850B0D" w:rsidRPr="00E95B6F" w:rsidRDefault="000B2DD2" w:rsidP="00F70D6C">
      <w:pPr>
        <w:spacing w:line="56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共有</w:t>
      </w:r>
      <w:r w:rsidR="001830A7">
        <w:rPr>
          <w:rFonts w:ascii="Times New Roman" w:eastAsia="仿宋_GB2312" w:hAnsi="Times New Roman" w:cs="Times New Roman"/>
          <w:bCs/>
          <w:kern w:val="44"/>
          <w:sz w:val="28"/>
          <w:szCs w:val="28"/>
        </w:rPr>
        <w:t>2</w:t>
      </w:r>
      <w:r>
        <w:rPr>
          <w:rFonts w:ascii="Times New Roman" w:eastAsia="仿宋_GB2312" w:hAnsi="Times New Roman" w:cs="Times New Roman" w:hint="eastAsia"/>
          <w:bCs/>
          <w:kern w:val="44"/>
          <w:sz w:val="28"/>
          <w:szCs w:val="28"/>
        </w:rPr>
        <w:t>家</w:t>
      </w:r>
      <w:r w:rsidR="00826765">
        <w:rPr>
          <w:rFonts w:ascii="Times New Roman" w:eastAsia="仿宋_GB2312" w:hAnsi="Times New Roman" w:cs="Times New Roman" w:hint="eastAsia"/>
          <w:bCs/>
          <w:kern w:val="44"/>
          <w:sz w:val="28"/>
          <w:szCs w:val="28"/>
        </w:rPr>
        <w:t>排污单位</w:t>
      </w:r>
      <w:r>
        <w:rPr>
          <w:rFonts w:ascii="Times New Roman" w:eastAsia="仿宋_GB2312" w:hAnsi="Times New Roman" w:cs="Times New Roman" w:hint="eastAsia"/>
          <w:bCs/>
          <w:kern w:val="44"/>
          <w:sz w:val="28"/>
          <w:szCs w:val="28"/>
        </w:rPr>
        <w:t>出现超标现象，</w:t>
      </w:r>
      <w:r w:rsidR="008F2F85">
        <w:rPr>
          <w:rFonts w:ascii="Times New Roman" w:eastAsia="仿宋_GB2312" w:hAnsi="Times New Roman" w:cs="Times New Roman" w:hint="eastAsia"/>
          <w:bCs/>
          <w:kern w:val="44"/>
          <w:sz w:val="28"/>
          <w:szCs w:val="28"/>
        </w:rPr>
        <w:t>分别位于湖州和衢州。</w:t>
      </w:r>
      <w:r w:rsidR="009F06A6">
        <w:rPr>
          <w:rFonts w:ascii="Times New Roman" w:eastAsia="仿宋_GB2312" w:hAnsi="Times New Roman" w:cs="Times New Roman" w:hint="eastAsia"/>
          <w:bCs/>
          <w:kern w:val="44"/>
          <w:sz w:val="28"/>
          <w:szCs w:val="28"/>
        </w:rPr>
        <w:t>行业</w:t>
      </w:r>
      <w:r w:rsidR="001830A7">
        <w:rPr>
          <w:rFonts w:ascii="Times New Roman" w:eastAsia="仿宋_GB2312" w:hAnsi="Times New Roman" w:cs="Times New Roman" w:hint="eastAsia"/>
          <w:bCs/>
          <w:kern w:val="44"/>
          <w:sz w:val="28"/>
          <w:szCs w:val="28"/>
        </w:rPr>
        <w:t>为</w:t>
      </w:r>
      <w:r w:rsidR="00B533F0">
        <w:rPr>
          <w:rFonts w:ascii="Times New Roman" w:eastAsia="仿宋_GB2312" w:hAnsi="Times New Roman" w:cs="Times New Roman" w:hint="eastAsia"/>
          <w:bCs/>
          <w:kern w:val="44"/>
          <w:sz w:val="28"/>
          <w:szCs w:val="28"/>
        </w:rPr>
        <w:t>金属制品业、化学原料和化学制品制造业</w:t>
      </w:r>
      <w:r w:rsidR="008F2F85">
        <w:rPr>
          <w:rFonts w:ascii="Times New Roman" w:eastAsia="仿宋_GB2312" w:hAnsi="Times New Roman" w:cs="Times New Roman" w:hint="eastAsia"/>
          <w:bCs/>
          <w:kern w:val="44"/>
          <w:sz w:val="28"/>
          <w:szCs w:val="28"/>
        </w:rPr>
        <w:t>，</w:t>
      </w:r>
      <w:r w:rsidR="00D74274">
        <w:rPr>
          <w:rFonts w:ascii="Times New Roman" w:eastAsia="仿宋_GB2312" w:hAnsi="Times New Roman" w:cs="Times New Roman" w:hint="eastAsia"/>
          <w:bCs/>
          <w:kern w:val="44"/>
          <w:sz w:val="28"/>
          <w:szCs w:val="28"/>
        </w:rPr>
        <w:t>超标指标为铬酸雾、氯化氢</w:t>
      </w:r>
      <w:r w:rsidR="001830A7">
        <w:rPr>
          <w:rFonts w:ascii="Times New Roman" w:eastAsia="仿宋_GB2312" w:hAnsi="Times New Roman" w:cs="Times New Roman" w:hint="eastAsia"/>
          <w:bCs/>
          <w:kern w:val="44"/>
          <w:sz w:val="28"/>
          <w:szCs w:val="28"/>
        </w:rPr>
        <w:t>。</w:t>
      </w:r>
    </w:p>
    <w:p w14:paraId="3B68A50A" w14:textId="78FCDAA3" w:rsidR="0071363B" w:rsidRPr="00317502" w:rsidRDefault="006A7CB9" w:rsidP="001B765A">
      <w:pPr>
        <w:spacing w:beforeLines="20" w:before="62" w:afterLines="20" w:after="62" w:line="560" w:lineRule="exact"/>
        <w:ind w:firstLineChars="200" w:firstLine="562"/>
        <w:outlineLvl w:val="1"/>
        <w:rPr>
          <w:rFonts w:ascii="仿宋" w:eastAsia="仿宋" w:hAnsi="仿宋" w:cs="Times New Roman"/>
          <w:b/>
          <w:bCs/>
          <w:kern w:val="44"/>
          <w:sz w:val="28"/>
          <w:szCs w:val="28"/>
        </w:rPr>
      </w:pPr>
      <w:bookmarkStart w:id="6" w:name="_Toc126401597"/>
      <w:r w:rsidRPr="00317502">
        <w:rPr>
          <w:rFonts w:ascii="仿宋" w:eastAsia="仿宋" w:hAnsi="仿宋" w:cs="Times New Roman" w:hint="eastAsia"/>
          <w:b/>
          <w:bCs/>
          <w:kern w:val="44"/>
          <w:sz w:val="28"/>
          <w:szCs w:val="28"/>
        </w:rPr>
        <w:t>（</w:t>
      </w:r>
      <w:r w:rsidR="00317502" w:rsidRPr="00317502">
        <w:rPr>
          <w:rFonts w:ascii="仿宋" w:eastAsia="仿宋" w:hAnsi="仿宋" w:cs="Times New Roman" w:hint="eastAsia"/>
          <w:b/>
          <w:bCs/>
          <w:kern w:val="44"/>
          <w:sz w:val="28"/>
          <w:szCs w:val="28"/>
        </w:rPr>
        <w:t>四</w:t>
      </w:r>
      <w:r w:rsidRPr="00317502">
        <w:rPr>
          <w:rFonts w:ascii="仿宋" w:eastAsia="仿宋" w:hAnsi="仿宋" w:cs="Times New Roman" w:hint="eastAsia"/>
          <w:b/>
          <w:bCs/>
          <w:kern w:val="44"/>
          <w:sz w:val="28"/>
          <w:szCs w:val="28"/>
        </w:rPr>
        <w:t>）</w:t>
      </w:r>
      <w:r w:rsidR="00C879DB" w:rsidRPr="00317502">
        <w:rPr>
          <w:rFonts w:ascii="仿宋" w:eastAsia="仿宋" w:hAnsi="仿宋" w:cs="Times New Roman"/>
          <w:b/>
          <w:bCs/>
          <w:kern w:val="44"/>
          <w:sz w:val="28"/>
          <w:szCs w:val="28"/>
        </w:rPr>
        <w:t>涉</w:t>
      </w:r>
      <w:r w:rsidR="00235120" w:rsidRPr="00317502">
        <w:rPr>
          <w:rFonts w:ascii="仿宋" w:eastAsia="仿宋" w:hAnsi="仿宋" w:cs="Times New Roman"/>
          <w:b/>
          <w:bCs/>
          <w:kern w:val="44"/>
          <w:sz w:val="28"/>
          <w:szCs w:val="28"/>
        </w:rPr>
        <w:t>重金属</w:t>
      </w:r>
      <w:r w:rsidR="00924248" w:rsidRPr="00317502">
        <w:rPr>
          <w:rFonts w:ascii="仿宋" w:eastAsia="仿宋" w:hAnsi="仿宋" w:cs="Times New Roman"/>
          <w:b/>
          <w:bCs/>
          <w:kern w:val="44"/>
          <w:sz w:val="28"/>
          <w:szCs w:val="28"/>
        </w:rPr>
        <w:t>行业</w:t>
      </w:r>
      <w:r w:rsidR="00C1181A">
        <w:rPr>
          <w:rFonts w:ascii="仿宋" w:eastAsia="仿宋" w:hAnsi="仿宋" w:cs="Times New Roman" w:hint="eastAsia"/>
          <w:b/>
          <w:bCs/>
          <w:kern w:val="44"/>
          <w:sz w:val="28"/>
          <w:szCs w:val="28"/>
        </w:rPr>
        <w:t>排污单位</w:t>
      </w:r>
      <w:bookmarkEnd w:id="6"/>
    </w:p>
    <w:p w14:paraId="389048D3" w14:textId="6663ED5C" w:rsidR="00496B63" w:rsidRPr="00317502" w:rsidRDefault="006A7CB9" w:rsidP="00F70D6C">
      <w:pPr>
        <w:spacing w:line="560" w:lineRule="exact"/>
        <w:ind w:firstLineChars="200" w:firstLine="560"/>
        <w:rPr>
          <w:rFonts w:ascii="Times New Roman" w:eastAsia="仿宋_GB2312" w:hAnsi="Times New Roman" w:cs="Times New Roman"/>
          <w:bCs/>
          <w:kern w:val="44"/>
          <w:sz w:val="28"/>
          <w:szCs w:val="28"/>
        </w:rPr>
      </w:pPr>
      <w:r w:rsidRPr="00317502">
        <w:rPr>
          <w:rFonts w:ascii="Times New Roman" w:eastAsia="仿宋_GB2312" w:hAnsi="Times New Roman" w:cs="Times New Roman" w:hint="eastAsia"/>
          <w:bCs/>
          <w:kern w:val="44"/>
          <w:sz w:val="28"/>
          <w:szCs w:val="28"/>
        </w:rPr>
        <w:t>1</w:t>
      </w:r>
      <w:r w:rsidR="00317502" w:rsidRPr="00317502">
        <w:rPr>
          <w:rFonts w:ascii="Times New Roman" w:eastAsia="仿宋_GB2312" w:hAnsi="Times New Roman" w:cs="Times New Roman" w:hint="eastAsia"/>
          <w:bCs/>
          <w:kern w:val="44"/>
          <w:sz w:val="28"/>
          <w:szCs w:val="28"/>
        </w:rPr>
        <w:t>.</w:t>
      </w:r>
      <w:r w:rsidR="00235120" w:rsidRPr="00317502">
        <w:rPr>
          <w:rFonts w:ascii="Times New Roman" w:eastAsia="仿宋_GB2312" w:hAnsi="Times New Roman" w:cs="Times New Roman"/>
          <w:bCs/>
          <w:kern w:val="44"/>
          <w:sz w:val="28"/>
          <w:szCs w:val="28"/>
        </w:rPr>
        <w:t>废水</w:t>
      </w:r>
      <w:r w:rsidR="008F2F85">
        <w:rPr>
          <w:rFonts w:ascii="Times New Roman" w:eastAsia="仿宋_GB2312" w:hAnsi="Times New Roman" w:cs="Times New Roman" w:hint="eastAsia"/>
          <w:bCs/>
          <w:kern w:val="44"/>
          <w:sz w:val="28"/>
          <w:szCs w:val="28"/>
        </w:rPr>
        <w:t>监测情况</w:t>
      </w:r>
    </w:p>
    <w:p w14:paraId="39544149" w14:textId="7CA75782" w:rsidR="00D16811" w:rsidRPr="00F70D6C" w:rsidRDefault="00C86815"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全省共</w:t>
      </w:r>
      <w:r w:rsidR="008F2F85">
        <w:rPr>
          <w:rFonts w:ascii="Times New Roman" w:eastAsia="仿宋_GB2312" w:hAnsi="Times New Roman" w:cs="Times New Roman" w:hint="eastAsia"/>
          <w:bCs/>
          <w:kern w:val="44"/>
          <w:sz w:val="28"/>
          <w:szCs w:val="28"/>
        </w:rPr>
        <w:t>对</w:t>
      </w:r>
      <w:r w:rsidR="00F16061">
        <w:rPr>
          <w:rFonts w:ascii="Times New Roman" w:eastAsia="仿宋_GB2312" w:hAnsi="Times New Roman" w:cs="Times New Roman"/>
          <w:bCs/>
          <w:kern w:val="44"/>
          <w:sz w:val="28"/>
          <w:szCs w:val="28"/>
        </w:rPr>
        <w:t>680</w:t>
      </w:r>
      <w:r w:rsidR="00C879DB" w:rsidRPr="00F70D6C">
        <w:rPr>
          <w:rFonts w:ascii="Times New Roman" w:eastAsia="仿宋_GB2312" w:hAnsi="Times New Roman" w:cs="Times New Roman"/>
          <w:bCs/>
          <w:kern w:val="44"/>
          <w:sz w:val="28"/>
          <w:szCs w:val="28"/>
        </w:rPr>
        <w:t>家</w:t>
      </w:r>
      <w:r w:rsidR="008F2F85">
        <w:rPr>
          <w:rFonts w:ascii="Times New Roman" w:eastAsia="仿宋_GB2312" w:hAnsi="Times New Roman" w:cs="Times New Roman" w:hint="eastAsia"/>
          <w:bCs/>
          <w:kern w:val="44"/>
          <w:sz w:val="28"/>
          <w:szCs w:val="28"/>
        </w:rPr>
        <w:t>涉</w:t>
      </w:r>
      <w:r w:rsidR="00C879DB" w:rsidRPr="00F70D6C">
        <w:rPr>
          <w:rFonts w:ascii="Times New Roman" w:eastAsia="仿宋_GB2312" w:hAnsi="Times New Roman" w:cs="Times New Roman"/>
          <w:bCs/>
          <w:kern w:val="44"/>
          <w:sz w:val="28"/>
          <w:szCs w:val="28"/>
        </w:rPr>
        <w:t>重金属废水排放</w:t>
      </w:r>
      <w:r w:rsidR="008F2F85">
        <w:rPr>
          <w:rFonts w:ascii="Times New Roman" w:eastAsia="仿宋_GB2312" w:hAnsi="Times New Roman" w:cs="Times New Roman" w:hint="eastAsia"/>
          <w:bCs/>
          <w:kern w:val="44"/>
          <w:sz w:val="28"/>
          <w:szCs w:val="28"/>
        </w:rPr>
        <w:t>单位</w:t>
      </w:r>
      <w:r w:rsidR="008F2F85" w:rsidRPr="00F70D6C">
        <w:rPr>
          <w:rFonts w:ascii="Times New Roman" w:eastAsia="仿宋_GB2312" w:hAnsi="Times New Roman" w:cs="Times New Roman"/>
          <w:bCs/>
          <w:kern w:val="44"/>
          <w:sz w:val="28"/>
          <w:szCs w:val="28"/>
        </w:rPr>
        <w:t>开展了</w:t>
      </w:r>
      <w:r w:rsidR="00C879DB" w:rsidRPr="00F70D6C">
        <w:rPr>
          <w:rFonts w:ascii="Times New Roman" w:eastAsia="仿宋_GB2312" w:hAnsi="Times New Roman" w:cs="Times New Roman"/>
          <w:bCs/>
          <w:kern w:val="44"/>
          <w:sz w:val="28"/>
          <w:szCs w:val="28"/>
        </w:rPr>
        <w:t>监测，</w:t>
      </w:r>
      <w:r w:rsidR="00AD7B9C" w:rsidRPr="00F70D6C">
        <w:rPr>
          <w:rFonts w:ascii="Times New Roman" w:eastAsia="仿宋_GB2312" w:hAnsi="Times New Roman" w:cs="Times New Roman"/>
          <w:bCs/>
          <w:kern w:val="44"/>
          <w:sz w:val="28"/>
          <w:szCs w:val="28"/>
        </w:rPr>
        <w:t>达标率</w:t>
      </w:r>
      <w:r w:rsidR="00D71A17" w:rsidRPr="00F70D6C">
        <w:rPr>
          <w:rFonts w:ascii="Times New Roman" w:eastAsia="仿宋_GB2312" w:hAnsi="Times New Roman" w:cs="Times New Roman"/>
          <w:bCs/>
          <w:kern w:val="44"/>
          <w:sz w:val="28"/>
          <w:szCs w:val="28"/>
        </w:rPr>
        <w:t>为</w:t>
      </w:r>
      <w:r w:rsidR="004B1F0C" w:rsidRPr="00F70D6C">
        <w:rPr>
          <w:rFonts w:ascii="Times New Roman" w:eastAsia="仿宋_GB2312" w:hAnsi="Times New Roman" w:cs="Times New Roman"/>
          <w:bCs/>
          <w:kern w:val="44"/>
          <w:sz w:val="28"/>
          <w:szCs w:val="28"/>
        </w:rPr>
        <w:t>9</w:t>
      </w:r>
      <w:r w:rsidR="00B0004F" w:rsidRPr="00F70D6C">
        <w:rPr>
          <w:rFonts w:ascii="Times New Roman" w:eastAsia="仿宋_GB2312" w:hAnsi="Times New Roman" w:cs="Times New Roman"/>
          <w:bCs/>
          <w:kern w:val="44"/>
          <w:sz w:val="28"/>
          <w:szCs w:val="28"/>
        </w:rPr>
        <w:t>9.</w:t>
      </w:r>
      <w:r w:rsidR="00F16061">
        <w:rPr>
          <w:rFonts w:ascii="Times New Roman" w:eastAsia="仿宋_GB2312" w:hAnsi="Times New Roman" w:cs="Times New Roman"/>
          <w:bCs/>
          <w:kern w:val="44"/>
          <w:sz w:val="28"/>
          <w:szCs w:val="28"/>
        </w:rPr>
        <w:t>8</w:t>
      </w:r>
      <w:r w:rsidR="00AD7B9C" w:rsidRPr="00F70D6C">
        <w:rPr>
          <w:rFonts w:ascii="Times New Roman" w:eastAsia="仿宋_GB2312" w:hAnsi="Times New Roman" w:cs="Times New Roman"/>
          <w:bCs/>
          <w:kern w:val="44"/>
          <w:sz w:val="28"/>
          <w:szCs w:val="28"/>
        </w:rPr>
        <w:t>%</w:t>
      </w:r>
      <w:r w:rsidR="00A522B8" w:rsidRPr="00F70D6C">
        <w:rPr>
          <w:rFonts w:ascii="Times New Roman" w:eastAsia="仿宋_GB2312" w:hAnsi="Times New Roman" w:cs="Times New Roman" w:hint="eastAsia"/>
          <w:bCs/>
          <w:kern w:val="44"/>
          <w:sz w:val="28"/>
          <w:szCs w:val="28"/>
        </w:rPr>
        <w:t>，较上年</w:t>
      </w:r>
      <w:r w:rsidR="00F16061">
        <w:rPr>
          <w:rFonts w:ascii="Times New Roman" w:eastAsia="仿宋_GB2312" w:hAnsi="Times New Roman" w:cs="Times New Roman" w:hint="eastAsia"/>
          <w:bCs/>
          <w:kern w:val="44"/>
          <w:sz w:val="28"/>
          <w:szCs w:val="28"/>
        </w:rPr>
        <w:t>下降</w:t>
      </w:r>
      <w:r w:rsidR="00A522B8" w:rsidRPr="00F70D6C">
        <w:rPr>
          <w:rFonts w:ascii="Times New Roman" w:eastAsia="仿宋_GB2312" w:hAnsi="Times New Roman" w:cs="Times New Roman" w:hint="eastAsia"/>
          <w:bCs/>
          <w:kern w:val="44"/>
          <w:sz w:val="28"/>
          <w:szCs w:val="28"/>
        </w:rPr>
        <w:t>0</w:t>
      </w:r>
      <w:r w:rsidR="00B0004F" w:rsidRPr="00F70D6C">
        <w:rPr>
          <w:rFonts w:ascii="Times New Roman" w:eastAsia="仿宋_GB2312" w:hAnsi="Times New Roman" w:cs="Times New Roman"/>
          <w:bCs/>
          <w:kern w:val="44"/>
          <w:sz w:val="28"/>
          <w:szCs w:val="28"/>
        </w:rPr>
        <w:t>.</w:t>
      </w:r>
      <w:r w:rsidR="00F16061">
        <w:rPr>
          <w:rFonts w:ascii="Times New Roman" w:eastAsia="仿宋_GB2312" w:hAnsi="Times New Roman" w:cs="Times New Roman"/>
          <w:bCs/>
          <w:kern w:val="44"/>
          <w:sz w:val="28"/>
          <w:szCs w:val="28"/>
        </w:rPr>
        <w:t>1</w:t>
      </w:r>
      <w:r w:rsidR="00A522B8" w:rsidRPr="00F70D6C">
        <w:rPr>
          <w:rFonts w:ascii="Times New Roman" w:eastAsia="仿宋_GB2312" w:hAnsi="Times New Roman" w:cs="Times New Roman" w:hint="eastAsia"/>
          <w:bCs/>
          <w:kern w:val="44"/>
          <w:sz w:val="28"/>
          <w:szCs w:val="28"/>
        </w:rPr>
        <w:t>个百分点</w:t>
      </w:r>
      <w:r w:rsidR="00AD7B9C" w:rsidRPr="00F70D6C">
        <w:rPr>
          <w:rFonts w:ascii="Times New Roman" w:eastAsia="仿宋_GB2312" w:hAnsi="Times New Roman" w:cs="Times New Roman"/>
          <w:bCs/>
          <w:kern w:val="44"/>
          <w:sz w:val="28"/>
          <w:szCs w:val="28"/>
        </w:rPr>
        <w:t>。</w:t>
      </w:r>
      <w:r w:rsidR="00D16811" w:rsidRPr="00F70D6C">
        <w:rPr>
          <w:rFonts w:ascii="Times New Roman" w:eastAsia="仿宋_GB2312" w:hAnsi="Times New Roman" w:cs="Times New Roman"/>
          <w:bCs/>
          <w:kern w:val="44"/>
          <w:sz w:val="28"/>
          <w:szCs w:val="28"/>
        </w:rPr>
        <w:t>各设区市达标率范围为</w:t>
      </w:r>
      <w:r w:rsidR="004B1F0C" w:rsidRPr="00F70D6C">
        <w:rPr>
          <w:rFonts w:ascii="Times New Roman" w:eastAsia="仿宋_GB2312" w:hAnsi="Times New Roman" w:cs="Times New Roman"/>
          <w:bCs/>
          <w:kern w:val="44"/>
          <w:sz w:val="28"/>
          <w:szCs w:val="28"/>
        </w:rPr>
        <w:t>9</w:t>
      </w:r>
      <w:r w:rsidR="00F16061">
        <w:rPr>
          <w:rFonts w:ascii="Times New Roman" w:eastAsia="仿宋_GB2312" w:hAnsi="Times New Roman" w:cs="Times New Roman"/>
          <w:bCs/>
          <w:kern w:val="44"/>
          <w:sz w:val="28"/>
          <w:szCs w:val="28"/>
        </w:rPr>
        <w:t>8.0</w:t>
      </w:r>
      <w:r w:rsidR="00A522B8" w:rsidRPr="00F70D6C">
        <w:rPr>
          <w:rFonts w:ascii="Times New Roman" w:eastAsia="仿宋_GB2312" w:hAnsi="Times New Roman" w:cs="Times New Roman"/>
          <w:bCs/>
          <w:kern w:val="44"/>
          <w:sz w:val="28"/>
          <w:szCs w:val="28"/>
        </w:rPr>
        <w:t>%</w:t>
      </w:r>
      <w:r w:rsidR="002C308D" w:rsidRPr="00F70D6C">
        <w:rPr>
          <w:rFonts w:ascii="Times New Roman" w:eastAsia="仿宋_GB2312" w:hAnsi="Times New Roman" w:cs="Times New Roman"/>
          <w:bCs/>
          <w:kern w:val="44"/>
          <w:sz w:val="28"/>
          <w:szCs w:val="28"/>
        </w:rPr>
        <w:t>-</w:t>
      </w:r>
      <w:r w:rsidR="00D16811" w:rsidRPr="00F70D6C">
        <w:rPr>
          <w:rFonts w:ascii="Times New Roman" w:eastAsia="仿宋_GB2312" w:hAnsi="Times New Roman" w:cs="Times New Roman"/>
          <w:bCs/>
          <w:kern w:val="44"/>
          <w:sz w:val="28"/>
          <w:szCs w:val="28"/>
        </w:rPr>
        <w:t>100%</w:t>
      </w:r>
      <w:r w:rsidR="00D16811" w:rsidRPr="00F70D6C">
        <w:rPr>
          <w:rFonts w:ascii="Times New Roman" w:eastAsia="仿宋_GB2312" w:hAnsi="Times New Roman" w:cs="Times New Roman"/>
          <w:bCs/>
          <w:kern w:val="44"/>
          <w:sz w:val="28"/>
          <w:szCs w:val="28"/>
        </w:rPr>
        <w:t>。</w:t>
      </w:r>
    </w:p>
    <w:p w14:paraId="50160328" w14:textId="1FE7C550" w:rsidR="00D05D00" w:rsidRPr="00E95B6F" w:rsidRDefault="00D05D00" w:rsidP="00630A51">
      <w:pPr>
        <w:spacing w:line="56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E2F43">
        <w:rPr>
          <w:rFonts w:ascii="Times New Roman" w:eastAsia="仿宋_GB2312" w:hAnsi="Times New Roman" w:cs="Times New Roman"/>
          <w:b/>
          <w:sz w:val="24"/>
          <w:szCs w:val="24"/>
        </w:rPr>
        <w:t>8</w:t>
      </w:r>
      <w:r w:rsidRPr="00E95B6F">
        <w:rPr>
          <w:rFonts w:ascii="Times New Roman" w:eastAsia="仿宋_GB2312" w:hAnsi="Times New Roman" w:cs="Times New Roman"/>
          <w:b/>
          <w:sz w:val="24"/>
          <w:szCs w:val="24"/>
        </w:rPr>
        <w:t xml:space="preserve">  </w:t>
      </w:r>
      <w:r w:rsidR="00B86FA0" w:rsidRPr="00E95B6F">
        <w:rPr>
          <w:rFonts w:ascii="Times New Roman" w:eastAsia="仿宋_GB2312" w:hAnsi="Times New Roman" w:cs="Times New Roman"/>
          <w:b/>
          <w:sz w:val="24"/>
          <w:szCs w:val="24"/>
        </w:rPr>
        <w:t xml:space="preserve"> </w:t>
      </w:r>
      <w:r w:rsidR="00630A51">
        <w:rPr>
          <w:rFonts w:ascii="Times New Roman" w:eastAsia="仿宋_GB2312" w:hAnsi="Times New Roman" w:cs="Times New Roman"/>
          <w:b/>
          <w:sz w:val="24"/>
          <w:szCs w:val="24"/>
        </w:rPr>
        <w:t xml:space="preserve"> </w:t>
      </w:r>
      <w:r w:rsidR="00825D84">
        <w:rPr>
          <w:rFonts w:ascii="Times New Roman" w:eastAsia="仿宋_GB2312" w:hAnsi="Times New Roman" w:cs="Times New Roman" w:hint="eastAsia"/>
          <w:b/>
          <w:sz w:val="24"/>
          <w:szCs w:val="24"/>
        </w:rPr>
        <w:t>重金属废水分区域</w:t>
      </w:r>
      <w:r w:rsidR="00004C7D">
        <w:rPr>
          <w:rFonts w:ascii="Times New Roman" w:eastAsia="仿宋_GB2312" w:hAnsi="Times New Roman" w:cs="Times New Roman"/>
          <w:b/>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617"/>
        <w:gridCol w:w="617"/>
        <w:gridCol w:w="617"/>
        <w:gridCol w:w="617"/>
        <w:gridCol w:w="617"/>
        <w:gridCol w:w="616"/>
        <w:gridCol w:w="614"/>
        <w:gridCol w:w="614"/>
        <w:gridCol w:w="614"/>
        <w:gridCol w:w="614"/>
        <w:gridCol w:w="611"/>
        <w:gridCol w:w="604"/>
      </w:tblGrid>
      <w:tr w:rsidR="00C1181A" w:rsidRPr="00C1181A" w14:paraId="0F23DE5D" w14:textId="7CAE2AC5" w:rsidTr="00CE042E">
        <w:trPr>
          <w:trHeight w:val="526"/>
          <w:jc w:val="center"/>
        </w:trPr>
        <w:tc>
          <w:tcPr>
            <w:tcW w:w="557" w:type="pct"/>
            <w:vAlign w:val="center"/>
          </w:tcPr>
          <w:p w14:paraId="42651BBE" w14:textId="7E756174" w:rsidR="00C1181A" w:rsidRPr="00FB0069" w:rsidRDefault="00C1181A" w:rsidP="00C1181A">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设区市</w:t>
            </w:r>
          </w:p>
        </w:tc>
        <w:tc>
          <w:tcPr>
            <w:tcW w:w="372" w:type="pct"/>
            <w:shd w:val="clear" w:color="auto" w:fill="auto"/>
            <w:vAlign w:val="center"/>
          </w:tcPr>
          <w:p w14:paraId="36014340"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杭州</w:t>
            </w:r>
          </w:p>
        </w:tc>
        <w:tc>
          <w:tcPr>
            <w:tcW w:w="372" w:type="pct"/>
            <w:shd w:val="clear" w:color="auto" w:fill="auto"/>
            <w:vAlign w:val="center"/>
          </w:tcPr>
          <w:p w14:paraId="697DAE89"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宁波</w:t>
            </w:r>
          </w:p>
        </w:tc>
        <w:tc>
          <w:tcPr>
            <w:tcW w:w="372" w:type="pct"/>
            <w:shd w:val="clear" w:color="auto" w:fill="auto"/>
            <w:vAlign w:val="center"/>
          </w:tcPr>
          <w:p w14:paraId="159DB821"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温州</w:t>
            </w:r>
          </w:p>
        </w:tc>
        <w:tc>
          <w:tcPr>
            <w:tcW w:w="372" w:type="pct"/>
            <w:shd w:val="clear" w:color="auto" w:fill="auto"/>
            <w:vAlign w:val="center"/>
          </w:tcPr>
          <w:p w14:paraId="5EAD9537" w14:textId="5D8AC306"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湖州</w:t>
            </w:r>
          </w:p>
        </w:tc>
        <w:tc>
          <w:tcPr>
            <w:tcW w:w="372" w:type="pct"/>
            <w:shd w:val="clear" w:color="auto" w:fill="auto"/>
            <w:vAlign w:val="center"/>
          </w:tcPr>
          <w:p w14:paraId="444246E8" w14:textId="7B6E9D05"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嘉兴</w:t>
            </w:r>
          </w:p>
        </w:tc>
        <w:tc>
          <w:tcPr>
            <w:tcW w:w="371" w:type="pct"/>
            <w:shd w:val="clear" w:color="auto" w:fill="auto"/>
            <w:vAlign w:val="center"/>
          </w:tcPr>
          <w:p w14:paraId="3DA709A6"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绍兴</w:t>
            </w:r>
          </w:p>
        </w:tc>
        <w:tc>
          <w:tcPr>
            <w:tcW w:w="370" w:type="pct"/>
            <w:shd w:val="clear" w:color="auto" w:fill="auto"/>
            <w:vAlign w:val="center"/>
          </w:tcPr>
          <w:p w14:paraId="4C29F733"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金华</w:t>
            </w:r>
          </w:p>
        </w:tc>
        <w:tc>
          <w:tcPr>
            <w:tcW w:w="370" w:type="pct"/>
            <w:shd w:val="clear" w:color="auto" w:fill="auto"/>
            <w:vAlign w:val="center"/>
          </w:tcPr>
          <w:p w14:paraId="00FD4DD3"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衢州</w:t>
            </w:r>
          </w:p>
        </w:tc>
        <w:tc>
          <w:tcPr>
            <w:tcW w:w="370" w:type="pct"/>
            <w:shd w:val="clear" w:color="auto" w:fill="auto"/>
            <w:vAlign w:val="center"/>
          </w:tcPr>
          <w:p w14:paraId="109F5984"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舟山</w:t>
            </w:r>
          </w:p>
        </w:tc>
        <w:tc>
          <w:tcPr>
            <w:tcW w:w="370" w:type="pct"/>
            <w:shd w:val="clear" w:color="auto" w:fill="auto"/>
            <w:vAlign w:val="center"/>
          </w:tcPr>
          <w:p w14:paraId="4C39E9D5"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台州</w:t>
            </w:r>
          </w:p>
        </w:tc>
        <w:tc>
          <w:tcPr>
            <w:tcW w:w="368" w:type="pct"/>
            <w:shd w:val="clear" w:color="auto" w:fill="auto"/>
            <w:vAlign w:val="center"/>
          </w:tcPr>
          <w:p w14:paraId="64CC5D4A"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丽水</w:t>
            </w:r>
          </w:p>
        </w:tc>
        <w:tc>
          <w:tcPr>
            <w:tcW w:w="368" w:type="pct"/>
            <w:vAlign w:val="center"/>
          </w:tcPr>
          <w:p w14:paraId="40ABB44A" w14:textId="33F4120F" w:rsidR="00C1181A" w:rsidRPr="00C1181A"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C1181A">
              <w:rPr>
                <w:rFonts w:ascii="Times New Roman" w:eastAsia="仿宋_GB2312" w:hAnsi="Times New Roman" w:cs="Times New Roman"/>
                <w:bCs/>
                <w:kern w:val="44"/>
                <w:sz w:val="22"/>
              </w:rPr>
              <w:t>全省</w:t>
            </w:r>
          </w:p>
        </w:tc>
      </w:tr>
      <w:tr w:rsidR="00C1181A" w:rsidRPr="00FB0069" w14:paraId="3AC382A4" w14:textId="163043F1" w:rsidTr="00CE042E">
        <w:trPr>
          <w:trHeight w:val="321"/>
          <w:jc w:val="center"/>
        </w:trPr>
        <w:tc>
          <w:tcPr>
            <w:tcW w:w="557" w:type="pct"/>
            <w:vAlign w:val="center"/>
          </w:tcPr>
          <w:p w14:paraId="7828A782" w14:textId="77777777" w:rsidR="00C1181A" w:rsidRPr="008213AD"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07F2BE59" w14:textId="4AAF168B" w:rsidR="00C1181A" w:rsidRPr="00FB0069" w:rsidRDefault="00C1181A" w:rsidP="00C1181A">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（家）</w:t>
            </w:r>
          </w:p>
        </w:tc>
        <w:tc>
          <w:tcPr>
            <w:tcW w:w="372" w:type="pct"/>
            <w:shd w:val="clear" w:color="auto" w:fill="auto"/>
            <w:vAlign w:val="center"/>
          </w:tcPr>
          <w:p w14:paraId="711980FC" w14:textId="57206682"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5</w:t>
            </w:r>
            <w:r>
              <w:rPr>
                <w:rFonts w:ascii="Times New Roman" w:hAnsi="Times New Roman" w:cs="Times New Roman"/>
                <w:sz w:val="22"/>
              </w:rPr>
              <w:t>4</w:t>
            </w:r>
          </w:p>
        </w:tc>
        <w:tc>
          <w:tcPr>
            <w:tcW w:w="372" w:type="pct"/>
            <w:shd w:val="clear" w:color="auto" w:fill="auto"/>
            <w:vAlign w:val="center"/>
          </w:tcPr>
          <w:p w14:paraId="7A76422C" w14:textId="7C07D1BB"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42</w:t>
            </w:r>
          </w:p>
        </w:tc>
        <w:tc>
          <w:tcPr>
            <w:tcW w:w="372" w:type="pct"/>
            <w:shd w:val="clear" w:color="auto" w:fill="auto"/>
            <w:vAlign w:val="center"/>
          </w:tcPr>
          <w:p w14:paraId="25D5914A" w14:textId="2F87BA85"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2</w:t>
            </w:r>
            <w:r>
              <w:rPr>
                <w:rFonts w:ascii="Times New Roman" w:hAnsi="Times New Roman" w:cs="Times New Roman"/>
                <w:sz w:val="22"/>
              </w:rPr>
              <w:t>85</w:t>
            </w:r>
          </w:p>
        </w:tc>
        <w:tc>
          <w:tcPr>
            <w:tcW w:w="372" w:type="pct"/>
            <w:shd w:val="clear" w:color="auto" w:fill="auto"/>
            <w:vAlign w:val="center"/>
          </w:tcPr>
          <w:p w14:paraId="0D338EBD" w14:textId="104E6219"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4</w:t>
            </w:r>
            <w:r>
              <w:rPr>
                <w:rFonts w:ascii="Times New Roman" w:hAnsi="Times New Roman" w:cs="Times New Roman"/>
                <w:sz w:val="22"/>
              </w:rPr>
              <w:t>2</w:t>
            </w:r>
          </w:p>
        </w:tc>
        <w:tc>
          <w:tcPr>
            <w:tcW w:w="372" w:type="pct"/>
            <w:shd w:val="clear" w:color="auto" w:fill="auto"/>
            <w:vAlign w:val="center"/>
          </w:tcPr>
          <w:p w14:paraId="0DF7ADBF" w14:textId="7041CDDE"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5</w:t>
            </w:r>
            <w:r>
              <w:rPr>
                <w:rFonts w:ascii="Times New Roman" w:hAnsi="Times New Roman" w:cs="Times New Roman"/>
                <w:sz w:val="22"/>
              </w:rPr>
              <w:t>2</w:t>
            </w:r>
          </w:p>
        </w:tc>
        <w:tc>
          <w:tcPr>
            <w:tcW w:w="371" w:type="pct"/>
            <w:shd w:val="clear" w:color="auto" w:fill="auto"/>
            <w:vAlign w:val="center"/>
          </w:tcPr>
          <w:p w14:paraId="71D13DFE" w14:textId="35CF6431"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2</w:t>
            </w:r>
            <w:r>
              <w:rPr>
                <w:rFonts w:ascii="Times New Roman" w:hAnsi="Times New Roman" w:cs="Times New Roman"/>
                <w:sz w:val="22"/>
              </w:rPr>
              <w:t>0</w:t>
            </w:r>
          </w:p>
        </w:tc>
        <w:tc>
          <w:tcPr>
            <w:tcW w:w="370" w:type="pct"/>
            <w:shd w:val="clear" w:color="auto" w:fill="auto"/>
            <w:vAlign w:val="center"/>
          </w:tcPr>
          <w:p w14:paraId="03442FAA" w14:textId="2FE674F0"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2</w:t>
            </w:r>
            <w:r>
              <w:rPr>
                <w:rFonts w:ascii="Times New Roman" w:hAnsi="Times New Roman" w:cs="Times New Roman"/>
                <w:sz w:val="22"/>
              </w:rPr>
              <w:t>8</w:t>
            </w:r>
          </w:p>
        </w:tc>
        <w:tc>
          <w:tcPr>
            <w:tcW w:w="370" w:type="pct"/>
            <w:shd w:val="clear" w:color="auto" w:fill="auto"/>
            <w:vAlign w:val="center"/>
          </w:tcPr>
          <w:p w14:paraId="69E53FEE" w14:textId="68CBCDEC"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1</w:t>
            </w:r>
          </w:p>
        </w:tc>
        <w:tc>
          <w:tcPr>
            <w:tcW w:w="370" w:type="pct"/>
            <w:shd w:val="clear" w:color="auto" w:fill="auto"/>
            <w:vAlign w:val="center"/>
          </w:tcPr>
          <w:p w14:paraId="1AD28FFE" w14:textId="57AF48BF"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p>
        </w:tc>
        <w:tc>
          <w:tcPr>
            <w:tcW w:w="370" w:type="pct"/>
            <w:shd w:val="clear" w:color="auto" w:fill="auto"/>
            <w:vAlign w:val="center"/>
          </w:tcPr>
          <w:p w14:paraId="1AEAB76D" w14:textId="3938F8A1"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3</w:t>
            </w:r>
            <w:r>
              <w:rPr>
                <w:rFonts w:ascii="Times New Roman" w:hAnsi="Times New Roman" w:cs="Times New Roman"/>
                <w:sz w:val="22"/>
              </w:rPr>
              <w:t>7</w:t>
            </w:r>
          </w:p>
        </w:tc>
        <w:tc>
          <w:tcPr>
            <w:tcW w:w="368" w:type="pct"/>
            <w:shd w:val="clear" w:color="auto" w:fill="auto"/>
            <w:vAlign w:val="center"/>
          </w:tcPr>
          <w:p w14:paraId="398B9442" w14:textId="4957AA95"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8</w:t>
            </w:r>
          </w:p>
        </w:tc>
        <w:tc>
          <w:tcPr>
            <w:tcW w:w="368" w:type="pct"/>
            <w:vAlign w:val="center"/>
          </w:tcPr>
          <w:p w14:paraId="54AB2BD9" w14:textId="159FFC6C" w:rsidR="00C1181A" w:rsidRPr="00C1181A"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80</w:t>
            </w:r>
          </w:p>
        </w:tc>
      </w:tr>
      <w:tr w:rsidR="00C1181A" w:rsidRPr="00FB0069" w14:paraId="1F84F0CD" w14:textId="45BDFF9F" w:rsidTr="00CE042E">
        <w:trPr>
          <w:trHeight w:val="422"/>
          <w:jc w:val="center"/>
        </w:trPr>
        <w:tc>
          <w:tcPr>
            <w:tcW w:w="557" w:type="pct"/>
            <w:vAlign w:val="center"/>
          </w:tcPr>
          <w:p w14:paraId="3A00B720" w14:textId="77777777" w:rsidR="00C1181A" w:rsidRPr="008213AD"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05F6F3D5" w14:textId="487E1E4A" w:rsidR="00C1181A" w:rsidRPr="00FB0069" w:rsidRDefault="00C1181A" w:rsidP="00C1181A">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72" w:type="pct"/>
            <w:shd w:val="clear" w:color="auto" w:fill="auto"/>
            <w:vAlign w:val="center"/>
          </w:tcPr>
          <w:p w14:paraId="46B5A276" w14:textId="6471393F"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2" w:type="pct"/>
            <w:shd w:val="clear" w:color="auto" w:fill="auto"/>
            <w:vAlign w:val="center"/>
          </w:tcPr>
          <w:p w14:paraId="41265F56" w14:textId="772E864B"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2" w:type="pct"/>
            <w:shd w:val="clear" w:color="auto" w:fill="auto"/>
            <w:vAlign w:val="center"/>
          </w:tcPr>
          <w:p w14:paraId="7824313E" w14:textId="47D279B4"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9</w:t>
            </w:r>
            <w:r>
              <w:rPr>
                <w:rFonts w:ascii="Times New Roman" w:hAnsi="Times New Roman" w:cs="Times New Roman"/>
                <w:sz w:val="22"/>
              </w:rPr>
              <w:t>9.8</w:t>
            </w:r>
          </w:p>
        </w:tc>
        <w:tc>
          <w:tcPr>
            <w:tcW w:w="372" w:type="pct"/>
            <w:shd w:val="clear" w:color="auto" w:fill="auto"/>
            <w:vAlign w:val="center"/>
          </w:tcPr>
          <w:p w14:paraId="1F8210E9" w14:textId="7D09C514"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2" w:type="pct"/>
            <w:shd w:val="clear" w:color="auto" w:fill="auto"/>
            <w:vAlign w:val="center"/>
          </w:tcPr>
          <w:p w14:paraId="5BCF7802" w14:textId="5ADCC686"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10</w:t>
            </w:r>
            <w:r>
              <w:rPr>
                <w:rFonts w:ascii="Times New Roman" w:hAnsi="Times New Roman" w:cs="Times New Roman"/>
                <w:sz w:val="22"/>
              </w:rPr>
              <w:t>0</w:t>
            </w:r>
          </w:p>
        </w:tc>
        <w:tc>
          <w:tcPr>
            <w:tcW w:w="371" w:type="pct"/>
            <w:shd w:val="clear" w:color="auto" w:fill="auto"/>
            <w:vAlign w:val="center"/>
          </w:tcPr>
          <w:p w14:paraId="413BDBDD" w14:textId="7C47387E"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0" w:type="pct"/>
            <w:shd w:val="clear" w:color="auto" w:fill="auto"/>
            <w:vAlign w:val="center"/>
          </w:tcPr>
          <w:p w14:paraId="306E7FC8" w14:textId="66F1E6B5"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0" w:type="pct"/>
            <w:shd w:val="clear" w:color="auto" w:fill="auto"/>
            <w:vAlign w:val="center"/>
          </w:tcPr>
          <w:p w14:paraId="1A28F4F9" w14:textId="13DADF51"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0" w:type="pct"/>
            <w:shd w:val="clear" w:color="auto" w:fill="auto"/>
            <w:vAlign w:val="center"/>
          </w:tcPr>
          <w:p w14:paraId="304ABBB7" w14:textId="7F0BE002"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0" w:type="pct"/>
            <w:shd w:val="clear" w:color="auto" w:fill="auto"/>
            <w:vAlign w:val="center"/>
          </w:tcPr>
          <w:p w14:paraId="3E102B5B" w14:textId="48B8C2F9"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9</w:t>
            </w:r>
            <w:r>
              <w:rPr>
                <w:rFonts w:ascii="Times New Roman" w:hAnsi="Times New Roman" w:cs="Times New Roman"/>
                <w:sz w:val="22"/>
              </w:rPr>
              <w:t>8.0</w:t>
            </w:r>
          </w:p>
        </w:tc>
        <w:tc>
          <w:tcPr>
            <w:tcW w:w="368" w:type="pct"/>
            <w:shd w:val="clear" w:color="auto" w:fill="auto"/>
            <w:vAlign w:val="center"/>
          </w:tcPr>
          <w:p w14:paraId="0D5C0DAA" w14:textId="706F8E80" w:rsidR="00C1181A" w:rsidRPr="00FB0069"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68" w:type="pct"/>
            <w:vAlign w:val="center"/>
          </w:tcPr>
          <w:p w14:paraId="25043DCC" w14:textId="3EE60A06" w:rsidR="00C1181A" w:rsidRPr="00C1181A" w:rsidRDefault="00F16061" w:rsidP="00C1181A">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9</w:t>
            </w:r>
            <w:r>
              <w:rPr>
                <w:rFonts w:ascii="Times New Roman" w:hAnsi="Times New Roman" w:cs="Times New Roman"/>
                <w:sz w:val="22"/>
              </w:rPr>
              <w:t>9.8</w:t>
            </w:r>
          </w:p>
        </w:tc>
      </w:tr>
    </w:tbl>
    <w:p w14:paraId="62B3F091" w14:textId="73B41579" w:rsidR="00EA40CB" w:rsidRPr="00F70D6C" w:rsidRDefault="00924248"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存在超标的</w:t>
      </w:r>
      <w:r w:rsidR="00825D84">
        <w:rPr>
          <w:rFonts w:ascii="Times New Roman" w:eastAsia="仿宋_GB2312" w:hAnsi="Times New Roman" w:cs="Times New Roman" w:hint="eastAsia"/>
          <w:bCs/>
          <w:kern w:val="44"/>
          <w:sz w:val="28"/>
          <w:szCs w:val="28"/>
        </w:rPr>
        <w:t>单位</w:t>
      </w:r>
      <w:r w:rsidRPr="00F70D6C">
        <w:rPr>
          <w:rFonts w:ascii="Times New Roman" w:eastAsia="仿宋_GB2312" w:hAnsi="Times New Roman" w:cs="Times New Roman"/>
          <w:bCs/>
          <w:kern w:val="44"/>
          <w:sz w:val="28"/>
          <w:szCs w:val="28"/>
        </w:rPr>
        <w:t>共</w:t>
      </w:r>
      <w:r w:rsidR="007F0D55">
        <w:rPr>
          <w:rFonts w:ascii="Times New Roman" w:eastAsia="仿宋_GB2312" w:hAnsi="Times New Roman" w:cs="Times New Roman"/>
          <w:bCs/>
          <w:kern w:val="44"/>
          <w:sz w:val="28"/>
          <w:szCs w:val="28"/>
        </w:rPr>
        <w:t>3</w:t>
      </w:r>
      <w:r w:rsidR="000426C0" w:rsidRPr="00F70D6C">
        <w:rPr>
          <w:rFonts w:ascii="Times New Roman" w:eastAsia="仿宋_GB2312" w:hAnsi="Times New Roman" w:cs="Times New Roman"/>
          <w:bCs/>
          <w:kern w:val="44"/>
          <w:sz w:val="28"/>
          <w:szCs w:val="28"/>
        </w:rPr>
        <w:t>家，</w:t>
      </w:r>
      <w:r w:rsidR="00C04DEE">
        <w:rPr>
          <w:rFonts w:ascii="Times New Roman" w:eastAsia="仿宋_GB2312" w:hAnsi="Times New Roman" w:cs="Times New Roman" w:hint="eastAsia"/>
          <w:bCs/>
          <w:kern w:val="44"/>
          <w:sz w:val="28"/>
          <w:szCs w:val="28"/>
        </w:rPr>
        <w:t>分别</w:t>
      </w:r>
      <w:r w:rsidR="00A824D8" w:rsidRPr="00F70D6C">
        <w:rPr>
          <w:rFonts w:ascii="Times New Roman" w:eastAsia="仿宋_GB2312" w:hAnsi="Times New Roman" w:cs="Times New Roman"/>
          <w:bCs/>
          <w:kern w:val="44"/>
          <w:sz w:val="28"/>
          <w:szCs w:val="28"/>
        </w:rPr>
        <w:t>位于</w:t>
      </w:r>
      <w:r w:rsidR="007F0D55">
        <w:rPr>
          <w:rFonts w:ascii="Times New Roman" w:eastAsia="仿宋_GB2312" w:hAnsi="Times New Roman" w:cs="Times New Roman" w:hint="eastAsia"/>
          <w:bCs/>
          <w:kern w:val="44"/>
          <w:sz w:val="28"/>
          <w:szCs w:val="28"/>
        </w:rPr>
        <w:t>温州</w:t>
      </w:r>
      <w:r w:rsidR="006A7DBA" w:rsidRPr="00F70D6C">
        <w:rPr>
          <w:rFonts w:ascii="Times New Roman" w:eastAsia="仿宋_GB2312" w:hAnsi="Times New Roman" w:cs="Times New Roman" w:hint="eastAsia"/>
          <w:bCs/>
          <w:kern w:val="44"/>
          <w:sz w:val="28"/>
          <w:szCs w:val="28"/>
        </w:rPr>
        <w:t>和台州</w:t>
      </w:r>
      <w:r w:rsidR="00C04DEE">
        <w:rPr>
          <w:rFonts w:ascii="Times New Roman" w:eastAsia="仿宋_GB2312" w:hAnsi="Times New Roman" w:cs="Times New Roman"/>
          <w:bCs/>
          <w:kern w:val="44"/>
          <w:sz w:val="28"/>
          <w:szCs w:val="28"/>
        </w:rPr>
        <w:t>2</w:t>
      </w:r>
      <w:r w:rsidR="006A7DBA" w:rsidRPr="00F70D6C">
        <w:rPr>
          <w:rFonts w:ascii="Times New Roman" w:eastAsia="仿宋_GB2312" w:hAnsi="Times New Roman" w:cs="Times New Roman" w:hint="eastAsia"/>
          <w:bCs/>
          <w:kern w:val="44"/>
          <w:sz w:val="28"/>
          <w:szCs w:val="28"/>
        </w:rPr>
        <w:t>个市</w:t>
      </w:r>
      <w:r w:rsidR="00EA40CB" w:rsidRPr="00F70D6C">
        <w:rPr>
          <w:rFonts w:ascii="Times New Roman" w:eastAsia="仿宋_GB2312" w:hAnsi="Times New Roman" w:cs="Times New Roman" w:hint="eastAsia"/>
          <w:bCs/>
          <w:kern w:val="44"/>
          <w:sz w:val="28"/>
          <w:szCs w:val="28"/>
        </w:rPr>
        <w:t>。超标的行业</w:t>
      </w:r>
      <w:r w:rsidR="001373F0">
        <w:rPr>
          <w:rFonts w:ascii="Times New Roman" w:eastAsia="仿宋_GB2312" w:hAnsi="Times New Roman" w:cs="Times New Roman" w:hint="eastAsia"/>
          <w:bCs/>
          <w:kern w:val="44"/>
          <w:sz w:val="28"/>
          <w:szCs w:val="28"/>
        </w:rPr>
        <w:t>均为金属制品业</w:t>
      </w:r>
      <w:r w:rsidR="00EA40CB" w:rsidRPr="00F70D6C">
        <w:rPr>
          <w:rFonts w:ascii="Times New Roman" w:eastAsia="仿宋_GB2312" w:hAnsi="Times New Roman" w:cs="Times New Roman" w:hint="eastAsia"/>
          <w:bCs/>
          <w:kern w:val="44"/>
          <w:sz w:val="28"/>
          <w:szCs w:val="28"/>
        </w:rPr>
        <w:t>。超标的重金属指标为</w:t>
      </w:r>
      <w:r w:rsidR="006A7DBA" w:rsidRPr="00F70D6C">
        <w:rPr>
          <w:rFonts w:ascii="Times New Roman" w:eastAsia="仿宋_GB2312" w:hAnsi="Times New Roman" w:cs="Times New Roman" w:hint="eastAsia"/>
          <w:bCs/>
          <w:kern w:val="44"/>
          <w:sz w:val="28"/>
          <w:szCs w:val="28"/>
        </w:rPr>
        <w:t>总铬（超标</w:t>
      </w:r>
      <w:r w:rsidR="001373F0">
        <w:rPr>
          <w:rFonts w:ascii="Times New Roman" w:eastAsia="仿宋_GB2312" w:hAnsi="Times New Roman" w:cs="Times New Roman"/>
          <w:bCs/>
          <w:kern w:val="44"/>
          <w:sz w:val="28"/>
          <w:szCs w:val="28"/>
        </w:rPr>
        <w:t>2</w:t>
      </w:r>
      <w:r w:rsidR="006A7DBA" w:rsidRPr="00F70D6C">
        <w:rPr>
          <w:rFonts w:ascii="Times New Roman" w:eastAsia="仿宋_GB2312" w:hAnsi="Times New Roman" w:cs="Times New Roman" w:hint="eastAsia"/>
          <w:bCs/>
          <w:kern w:val="44"/>
          <w:sz w:val="28"/>
          <w:szCs w:val="28"/>
        </w:rPr>
        <w:t>次）</w:t>
      </w:r>
      <w:r w:rsidR="00B722A9" w:rsidRPr="00F70D6C">
        <w:rPr>
          <w:rFonts w:ascii="Times New Roman" w:eastAsia="仿宋_GB2312" w:hAnsi="Times New Roman" w:cs="Times New Roman" w:hint="eastAsia"/>
          <w:bCs/>
          <w:kern w:val="44"/>
          <w:sz w:val="28"/>
          <w:szCs w:val="28"/>
        </w:rPr>
        <w:t>；超标的非重金属指标为</w:t>
      </w:r>
      <w:r w:rsidR="001373F0">
        <w:rPr>
          <w:rFonts w:ascii="Times New Roman" w:eastAsia="仿宋_GB2312" w:hAnsi="Times New Roman" w:cs="Times New Roman" w:hint="eastAsia"/>
          <w:bCs/>
          <w:kern w:val="44"/>
          <w:sz w:val="28"/>
          <w:szCs w:val="28"/>
        </w:rPr>
        <w:t>化学需氧量</w:t>
      </w:r>
      <w:r w:rsidR="00A71D90" w:rsidRPr="00F70D6C">
        <w:rPr>
          <w:rFonts w:ascii="Times New Roman" w:eastAsia="仿宋_GB2312" w:hAnsi="Times New Roman" w:cs="Times New Roman" w:hint="eastAsia"/>
          <w:bCs/>
          <w:kern w:val="44"/>
          <w:sz w:val="28"/>
          <w:szCs w:val="28"/>
        </w:rPr>
        <w:t>（超标</w:t>
      </w:r>
      <w:r w:rsidR="00A71D90" w:rsidRPr="00F70D6C">
        <w:rPr>
          <w:rFonts w:ascii="Times New Roman" w:eastAsia="仿宋_GB2312" w:hAnsi="Times New Roman" w:cs="Times New Roman" w:hint="eastAsia"/>
          <w:bCs/>
          <w:kern w:val="44"/>
          <w:sz w:val="28"/>
          <w:szCs w:val="28"/>
        </w:rPr>
        <w:t>1</w:t>
      </w:r>
      <w:r w:rsidR="00A71D90" w:rsidRPr="00F70D6C">
        <w:rPr>
          <w:rFonts w:ascii="Times New Roman" w:eastAsia="仿宋_GB2312" w:hAnsi="Times New Roman" w:cs="Times New Roman" w:hint="eastAsia"/>
          <w:bCs/>
          <w:kern w:val="44"/>
          <w:sz w:val="28"/>
          <w:szCs w:val="28"/>
        </w:rPr>
        <w:t>次）、</w:t>
      </w:r>
      <w:r w:rsidR="001373F0">
        <w:rPr>
          <w:rFonts w:ascii="Times New Roman" w:eastAsia="仿宋_GB2312" w:hAnsi="Times New Roman" w:cs="Times New Roman" w:hint="eastAsia"/>
          <w:bCs/>
          <w:kern w:val="44"/>
          <w:sz w:val="28"/>
          <w:szCs w:val="28"/>
        </w:rPr>
        <w:t>氨氮</w:t>
      </w:r>
      <w:r w:rsidR="00A71D90" w:rsidRPr="00F70D6C">
        <w:rPr>
          <w:rFonts w:ascii="Times New Roman" w:eastAsia="仿宋_GB2312" w:hAnsi="Times New Roman" w:cs="Times New Roman" w:hint="eastAsia"/>
          <w:bCs/>
          <w:kern w:val="44"/>
          <w:sz w:val="28"/>
          <w:szCs w:val="28"/>
        </w:rPr>
        <w:t>（超标</w:t>
      </w:r>
      <w:r w:rsidR="00A71D90" w:rsidRPr="00F70D6C">
        <w:rPr>
          <w:rFonts w:ascii="Times New Roman" w:eastAsia="仿宋_GB2312" w:hAnsi="Times New Roman" w:cs="Times New Roman" w:hint="eastAsia"/>
          <w:bCs/>
          <w:kern w:val="44"/>
          <w:sz w:val="28"/>
          <w:szCs w:val="28"/>
        </w:rPr>
        <w:t>1</w:t>
      </w:r>
      <w:r w:rsidR="00A71D90" w:rsidRPr="00F70D6C">
        <w:rPr>
          <w:rFonts w:ascii="Times New Roman" w:eastAsia="仿宋_GB2312" w:hAnsi="Times New Roman" w:cs="Times New Roman" w:hint="eastAsia"/>
          <w:bCs/>
          <w:kern w:val="44"/>
          <w:sz w:val="28"/>
          <w:szCs w:val="28"/>
        </w:rPr>
        <w:t>次）</w:t>
      </w:r>
      <w:r w:rsidR="005F24B8" w:rsidRPr="00F70D6C">
        <w:rPr>
          <w:rFonts w:ascii="Times New Roman" w:eastAsia="仿宋_GB2312" w:hAnsi="Times New Roman" w:cs="Times New Roman" w:hint="eastAsia"/>
          <w:bCs/>
          <w:kern w:val="44"/>
          <w:sz w:val="28"/>
          <w:szCs w:val="28"/>
        </w:rPr>
        <w:t>。</w:t>
      </w:r>
    </w:p>
    <w:p w14:paraId="2C20C75D" w14:textId="3729857F" w:rsidR="00FC3DAF" w:rsidRPr="00317502" w:rsidRDefault="006A7CB9" w:rsidP="00F70D6C">
      <w:pPr>
        <w:spacing w:line="560" w:lineRule="exact"/>
        <w:ind w:firstLineChars="200" w:firstLine="560"/>
        <w:rPr>
          <w:rFonts w:ascii="Times New Roman" w:eastAsia="仿宋_GB2312" w:hAnsi="Times New Roman" w:cs="Times New Roman"/>
          <w:bCs/>
          <w:kern w:val="44"/>
          <w:sz w:val="28"/>
          <w:szCs w:val="28"/>
        </w:rPr>
      </w:pPr>
      <w:r w:rsidRPr="00317502">
        <w:rPr>
          <w:rFonts w:ascii="Times New Roman" w:eastAsia="仿宋_GB2312" w:hAnsi="Times New Roman" w:cs="Times New Roman" w:hint="eastAsia"/>
          <w:bCs/>
          <w:kern w:val="44"/>
          <w:sz w:val="28"/>
          <w:szCs w:val="28"/>
        </w:rPr>
        <w:t>2</w:t>
      </w:r>
      <w:r w:rsidR="00317502">
        <w:rPr>
          <w:rFonts w:ascii="Times New Roman" w:eastAsia="仿宋_GB2312" w:hAnsi="Times New Roman" w:cs="Times New Roman" w:hint="eastAsia"/>
          <w:bCs/>
          <w:kern w:val="44"/>
          <w:sz w:val="28"/>
          <w:szCs w:val="28"/>
        </w:rPr>
        <w:t>.</w:t>
      </w:r>
      <w:r w:rsidR="00FC3DAF" w:rsidRPr="00317502">
        <w:rPr>
          <w:rFonts w:ascii="Times New Roman" w:eastAsia="仿宋_GB2312" w:hAnsi="Times New Roman" w:cs="Times New Roman"/>
          <w:bCs/>
          <w:kern w:val="44"/>
          <w:sz w:val="28"/>
          <w:szCs w:val="28"/>
        </w:rPr>
        <w:t>废气</w:t>
      </w:r>
      <w:r w:rsidR="008F2F85">
        <w:rPr>
          <w:rFonts w:ascii="Times New Roman" w:eastAsia="仿宋_GB2312" w:hAnsi="Times New Roman" w:cs="Times New Roman" w:hint="eastAsia"/>
          <w:bCs/>
          <w:kern w:val="44"/>
          <w:sz w:val="28"/>
          <w:szCs w:val="28"/>
        </w:rPr>
        <w:t>监测情况</w:t>
      </w:r>
    </w:p>
    <w:p w14:paraId="1653F5CE" w14:textId="1FB8C979" w:rsidR="00630A51" w:rsidRPr="00630A51" w:rsidRDefault="00FC3DAF" w:rsidP="00630A51">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全省共</w:t>
      </w:r>
      <w:r w:rsidR="008F2F85">
        <w:rPr>
          <w:rFonts w:ascii="Times New Roman" w:eastAsia="仿宋_GB2312" w:hAnsi="Times New Roman" w:cs="Times New Roman" w:hint="eastAsia"/>
          <w:bCs/>
          <w:kern w:val="44"/>
          <w:sz w:val="28"/>
          <w:szCs w:val="28"/>
        </w:rPr>
        <w:t>对</w:t>
      </w:r>
      <w:r w:rsidR="00A3460D" w:rsidRPr="00F70D6C">
        <w:rPr>
          <w:rFonts w:ascii="Times New Roman" w:eastAsia="仿宋_GB2312" w:hAnsi="Times New Roman" w:cs="Times New Roman"/>
          <w:bCs/>
          <w:kern w:val="44"/>
          <w:sz w:val="28"/>
          <w:szCs w:val="28"/>
        </w:rPr>
        <w:t>36</w:t>
      </w:r>
      <w:r w:rsidR="00A31D86">
        <w:rPr>
          <w:rFonts w:ascii="Times New Roman" w:eastAsia="仿宋_GB2312" w:hAnsi="Times New Roman" w:cs="Times New Roman"/>
          <w:bCs/>
          <w:kern w:val="44"/>
          <w:sz w:val="28"/>
          <w:szCs w:val="28"/>
        </w:rPr>
        <w:t>5</w:t>
      </w:r>
      <w:r w:rsidR="00A3460D" w:rsidRPr="00F70D6C">
        <w:rPr>
          <w:rFonts w:ascii="Times New Roman" w:eastAsia="仿宋_GB2312" w:hAnsi="Times New Roman" w:cs="Times New Roman"/>
          <w:bCs/>
          <w:kern w:val="44"/>
          <w:sz w:val="28"/>
          <w:szCs w:val="28"/>
        </w:rPr>
        <w:t>家</w:t>
      </w:r>
      <w:r w:rsidR="008F2F85">
        <w:rPr>
          <w:rFonts w:ascii="Times New Roman" w:eastAsia="仿宋_GB2312" w:hAnsi="Times New Roman" w:cs="Times New Roman" w:hint="eastAsia"/>
          <w:bCs/>
          <w:kern w:val="44"/>
          <w:sz w:val="28"/>
          <w:szCs w:val="28"/>
        </w:rPr>
        <w:t>涉</w:t>
      </w:r>
      <w:r w:rsidRPr="00F70D6C">
        <w:rPr>
          <w:rFonts w:ascii="Times New Roman" w:eastAsia="仿宋_GB2312" w:hAnsi="Times New Roman" w:cs="Times New Roman"/>
          <w:bCs/>
          <w:kern w:val="44"/>
          <w:sz w:val="28"/>
          <w:szCs w:val="28"/>
        </w:rPr>
        <w:t>重金属废气排放</w:t>
      </w:r>
      <w:r w:rsidR="008F2F85">
        <w:rPr>
          <w:rFonts w:ascii="Times New Roman" w:eastAsia="仿宋_GB2312" w:hAnsi="Times New Roman" w:cs="Times New Roman" w:hint="eastAsia"/>
          <w:bCs/>
          <w:kern w:val="44"/>
          <w:sz w:val="28"/>
          <w:szCs w:val="28"/>
        </w:rPr>
        <w:t>单位</w:t>
      </w:r>
      <w:r w:rsidR="008F2F85" w:rsidRPr="00F70D6C">
        <w:rPr>
          <w:rFonts w:ascii="Times New Roman" w:eastAsia="仿宋_GB2312" w:hAnsi="Times New Roman" w:cs="Times New Roman"/>
          <w:bCs/>
          <w:kern w:val="44"/>
          <w:sz w:val="28"/>
          <w:szCs w:val="28"/>
        </w:rPr>
        <w:t>开展了</w:t>
      </w:r>
      <w:r w:rsidRPr="00F70D6C">
        <w:rPr>
          <w:rFonts w:ascii="Times New Roman" w:eastAsia="仿宋_GB2312" w:hAnsi="Times New Roman" w:cs="Times New Roman"/>
          <w:bCs/>
          <w:kern w:val="44"/>
          <w:sz w:val="28"/>
          <w:szCs w:val="28"/>
        </w:rPr>
        <w:t>监测，达标率为</w:t>
      </w:r>
      <w:r w:rsidR="00A85F3C" w:rsidRPr="00F70D6C">
        <w:rPr>
          <w:rFonts w:ascii="Times New Roman" w:eastAsia="仿宋_GB2312" w:hAnsi="Times New Roman" w:cs="Times New Roman"/>
          <w:bCs/>
          <w:kern w:val="44"/>
          <w:sz w:val="28"/>
          <w:szCs w:val="28"/>
        </w:rPr>
        <w:t>99.</w:t>
      </w:r>
      <w:r w:rsidR="00A31D86">
        <w:rPr>
          <w:rFonts w:ascii="Times New Roman" w:eastAsia="仿宋_GB2312" w:hAnsi="Times New Roman" w:cs="Times New Roman"/>
          <w:bCs/>
          <w:kern w:val="44"/>
          <w:sz w:val="28"/>
          <w:szCs w:val="28"/>
        </w:rPr>
        <w:t>7</w:t>
      </w:r>
      <w:r w:rsidRPr="00F70D6C">
        <w:rPr>
          <w:rFonts w:ascii="Times New Roman" w:eastAsia="仿宋_GB2312" w:hAnsi="Times New Roman" w:cs="Times New Roman"/>
          <w:bCs/>
          <w:kern w:val="44"/>
          <w:sz w:val="28"/>
          <w:szCs w:val="28"/>
        </w:rPr>
        <w:t>%</w:t>
      </w:r>
      <w:r w:rsidRPr="00F70D6C">
        <w:rPr>
          <w:rFonts w:ascii="Times New Roman" w:eastAsia="仿宋_GB2312" w:hAnsi="Times New Roman" w:cs="Times New Roman"/>
          <w:bCs/>
          <w:kern w:val="44"/>
          <w:sz w:val="28"/>
          <w:szCs w:val="28"/>
        </w:rPr>
        <w:t>，</w:t>
      </w:r>
      <w:r w:rsidR="005D2A9C" w:rsidRPr="00F70D6C">
        <w:rPr>
          <w:rFonts w:ascii="Times New Roman" w:eastAsia="仿宋_GB2312" w:hAnsi="Times New Roman" w:cs="Times New Roman" w:hint="eastAsia"/>
          <w:bCs/>
          <w:kern w:val="44"/>
          <w:sz w:val="28"/>
          <w:szCs w:val="28"/>
        </w:rPr>
        <w:t>较上年</w:t>
      </w:r>
      <w:r w:rsidR="00A31D86">
        <w:rPr>
          <w:rFonts w:ascii="Times New Roman" w:eastAsia="仿宋_GB2312" w:hAnsi="Times New Roman" w:cs="Times New Roman" w:hint="eastAsia"/>
          <w:bCs/>
          <w:kern w:val="44"/>
          <w:sz w:val="28"/>
          <w:szCs w:val="28"/>
        </w:rPr>
        <w:t>下降</w:t>
      </w:r>
      <w:r w:rsidR="00A85F3C" w:rsidRPr="00F70D6C">
        <w:rPr>
          <w:rFonts w:ascii="Times New Roman" w:eastAsia="仿宋_GB2312" w:hAnsi="Times New Roman" w:cs="Times New Roman" w:hint="eastAsia"/>
          <w:bCs/>
          <w:kern w:val="44"/>
          <w:sz w:val="28"/>
          <w:szCs w:val="28"/>
        </w:rPr>
        <w:t>0</w:t>
      </w:r>
      <w:r w:rsidR="00A85F3C" w:rsidRPr="00F70D6C">
        <w:rPr>
          <w:rFonts w:ascii="Times New Roman" w:eastAsia="仿宋_GB2312" w:hAnsi="Times New Roman" w:cs="Times New Roman"/>
          <w:bCs/>
          <w:kern w:val="44"/>
          <w:sz w:val="28"/>
          <w:szCs w:val="28"/>
        </w:rPr>
        <w:t>.</w:t>
      </w:r>
      <w:r w:rsidR="00A31D86">
        <w:rPr>
          <w:rFonts w:ascii="Times New Roman" w:eastAsia="仿宋_GB2312" w:hAnsi="Times New Roman" w:cs="Times New Roman"/>
          <w:bCs/>
          <w:kern w:val="44"/>
          <w:sz w:val="28"/>
          <w:szCs w:val="28"/>
        </w:rPr>
        <w:t>2</w:t>
      </w:r>
      <w:r w:rsidR="005D2A9C" w:rsidRPr="00F70D6C">
        <w:rPr>
          <w:rFonts w:ascii="Times New Roman" w:eastAsia="仿宋_GB2312" w:hAnsi="Times New Roman" w:cs="Times New Roman" w:hint="eastAsia"/>
          <w:bCs/>
          <w:kern w:val="44"/>
          <w:sz w:val="28"/>
          <w:szCs w:val="28"/>
        </w:rPr>
        <w:t>个百分点。</w:t>
      </w:r>
      <w:r w:rsidRPr="00F70D6C">
        <w:rPr>
          <w:rFonts w:ascii="Times New Roman" w:eastAsia="仿宋_GB2312" w:hAnsi="Times New Roman" w:cs="Times New Roman"/>
          <w:bCs/>
          <w:kern w:val="44"/>
          <w:sz w:val="28"/>
          <w:szCs w:val="28"/>
        </w:rPr>
        <w:t>各设区市达标率</w:t>
      </w:r>
      <w:r w:rsidR="005D2A9C" w:rsidRPr="00F70D6C">
        <w:rPr>
          <w:rFonts w:ascii="Times New Roman" w:eastAsia="仿宋_GB2312" w:hAnsi="Times New Roman" w:cs="Times New Roman" w:hint="eastAsia"/>
          <w:bCs/>
          <w:kern w:val="44"/>
          <w:sz w:val="28"/>
          <w:szCs w:val="28"/>
        </w:rPr>
        <w:t>范围为</w:t>
      </w:r>
      <w:r w:rsidR="005D2A9C" w:rsidRPr="00F70D6C">
        <w:rPr>
          <w:rFonts w:ascii="Times New Roman" w:eastAsia="仿宋_GB2312" w:hAnsi="Times New Roman" w:cs="Times New Roman"/>
          <w:bCs/>
          <w:kern w:val="44"/>
          <w:sz w:val="28"/>
          <w:szCs w:val="28"/>
        </w:rPr>
        <w:t>9</w:t>
      </w:r>
      <w:r w:rsidR="00A31D86">
        <w:rPr>
          <w:rFonts w:ascii="Times New Roman" w:eastAsia="仿宋_GB2312" w:hAnsi="Times New Roman" w:cs="Times New Roman"/>
          <w:bCs/>
          <w:kern w:val="44"/>
          <w:sz w:val="28"/>
          <w:szCs w:val="28"/>
        </w:rPr>
        <w:t>9.7</w:t>
      </w:r>
      <w:r w:rsidR="005D2A9C" w:rsidRPr="00F70D6C">
        <w:rPr>
          <w:rFonts w:ascii="Times New Roman" w:eastAsia="仿宋_GB2312" w:hAnsi="Times New Roman" w:cs="Times New Roman"/>
          <w:bCs/>
          <w:kern w:val="44"/>
          <w:sz w:val="28"/>
          <w:szCs w:val="28"/>
        </w:rPr>
        <w:t>%-100%</w:t>
      </w:r>
      <w:r w:rsidR="00561FBE">
        <w:rPr>
          <w:rFonts w:ascii="Times New Roman" w:eastAsia="仿宋_GB2312" w:hAnsi="Times New Roman" w:cs="Times New Roman" w:hint="eastAsia"/>
          <w:bCs/>
          <w:kern w:val="44"/>
          <w:sz w:val="28"/>
          <w:szCs w:val="28"/>
        </w:rPr>
        <w:t>。</w:t>
      </w:r>
      <w:r w:rsidR="005A11B4" w:rsidRPr="00F70D6C">
        <w:rPr>
          <w:rFonts w:ascii="Times New Roman" w:eastAsia="仿宋_GB2312" w:hAnsi="Times New Roman" w:cs="Times New Roman" w:hint="eastAsia"/>
          <w:bCs/>
          <w:kern w:val="44"/>
          <w:sz w:val="28"/>
          <w:szCs w:val="28"/>
        </w:rPr>
        <w:t>除湖州外，其余</w:t>
      </w:r>
      <w:r w:rsidR="00A85F3C" w:rsidRPr="00F70D6C">
        <w:rPr>
          <w:rFonts w:ascii="Times New Roman" w:eastAsia="仿宋_GB2312" w:hAnsi="Times New Roman" w:cs="Times New Roman" w:hint="eastAsia"/>
          <w:bCs/>
          <w:kern w:val="44"/>
          <w:sz w:val="28"/>
          <w:szCs w:val="28"/>
        </w:rPr>
        <w:t>开展监测的设区</w:t>
      </w:r>
      <w:r w:rsidR="005D2A9C" w:rsidRPr="00F70D6C">
        <w:rPr>
          <w:rFonts w:ascii="Times New Roman" w:eastAsia="仿宋_GB2312" w:hAnsi="Times New Roman" w:cs="Times New Roman" w:hint="eastAsia"/>
          <w:bCs/>
          <w:kern w:val="44"/>
          <w:sz w:val="28"/>
          <w:szCs w:val="28"/>
        </w:rPr>
        <w:t>市</w:t>
      </w:r>
      <w:r w:rsidR="00E17A04" w:rsidRPr="00F70D6C">
        <w:rPr>
          <w:rFonts w:ascii="Times New Roman" w:eastAsia="仿宋_GB2312" w:hAnsi="Times New Roman" w:cs="Times New Roman" w:hint="eastAsia"/>
          <w:bCs/>
          <w:kern w:val="44"/>
          <w:sz w:val="28"/>
          <w:szCs w:val="28"/>
        </w:rPr>
        <w:t>均未出现超标现象</w:t>
      </w:r>
      <w:r w:rsidRPr="00F70D6C">
        <w:rPr>
          <w:rFonts w:ascii="Times New Roman" w:eastAsia="仿宋_GB2312" w:hAnsi="Times New Roman" w:cs="Times New Roman"/>
          <w:bCs/>
          <w:kern w:val="44"/>
          <w:sz w:val="28"/>
          <w:szCs w:val="28"/>
        </w:rPr>
        <w:t>。</w:t>
      </w:r>
    </w:p>
    <w:p w14:paraId="3D94045C" w14:textId="54B53AFE" w:rsidR="00FC3DAF" w:rsidRPr="00E95B6F" w:rsidRDefault="00FC3DAF" w:rsidP="00630A51">
      <w:pPr>
        <w:spacing w:line="56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E2F43">
        <w:rPr>
          <w:rFonts w:ascii="Times New Roman" w:eastAsia="仿宋_GB2312" w:hAnsi="Times New Roman" w:cs="Times New Roman"/>
          <w:b/>
          <w:sz w:val="24"/>
          <w:szCs w:val="24"/>
        </w:rPr>
        <w:t>9</w:t>
      </w:r>
      <w:r w:rsidRPr="00E95B6F">
        <w:rPr>
          <w:rFonts w:ascii="Times New Roman" w:eastAsia="仿宋_GB2312" w:hAnsi="Times New Roman" w:cs="Times New Roman"/>
          <w:b/>
          <w:sz w:val="24"/>
          <w:szCs w:val="24"/>
        </w:rPr>
        <w:t xml:space="preserve">    </w:t>
      </w:r>
      <w:r w:rsidR="00825D84">
        <w:rPr>
          <w:rFonts w:ascii="Times New Roman" w:eastAsia="仿宋_GB2312" w:hAnsi="Times New Roman" w:cs="Times New Roman" w:hint="eastAsia"/>
          <w:b/>
          <w:sz w:val="24"/>
          <w:szCs w:val="24"/>
        </w:rPr>
        <w:t>重金属</w:t>
      </w:r>
      <w:r w:rsidR="00825D84">
        <w:rPr>
          <w:rFonts w:ascii="Times New Roman" w:eastAsia="仿宋_GB2312" w:hAnsi="Times New Roman" w:cs="Times New Roman"/>
          <w:b/>
          <w:sz w:val="24"/>
          <w:szCs w:val="24"/>
        </w:rPr>
        <w:t>废气</w:t>
      </w:r>
      <w:r w:rsidR="00825D84">
        <w:rPr>
          <w:rFonts w:ascii="Times New Roman" w:eastAsia="仿宋_GB2312" w:hAnsi="Times New Roman" w:cs="Times New Roman" w:hint="eastAsia"/>
          <w:b/>
          <w:sz w:val="24"/>
          <w:szCs w:val="24"/>
        </w:rPr>
        <w:t>分区域</w:t>
      </w:r>
      <w:r w:rsidR="00004C7D">
        <w:rPr>
          <w:rFonts w:ascii="Times New Roman" w:eastAsia="仿宋_GB2312" w:hAnsi="Times New Roman" w:cs="Times New Roman"/>
          <w:b/>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621"/>
        <w:gridCol w:w="621"/>
        <w:gridCol w:w="621"/>
        <w:gridCol w:w="621"/>
        <w:gridCol w:w="621"/>
        <w:gridCol w:w="621"/>
        <w:gridCol w:w="621"/>
        <w:gridCol w:w="621"/>
        <w:gridCol w:w="621"/>
        <w:gridCol w:w="621"/>
        <w:gridCol w:w="621"/>
        <w:gridCol w:w="612"/>
      </w:tblGrid>
      <w:tr w:rsidR="00D2042F" w:rsidRPr="00E95B6F" w14:paraId="3B9B223C" w14:textId="4510E64B" w:rsidTr="00FA24F3">
        <w:trPr>
          <w:trHeight w:val="526"/>
          <w:jc w:val="center"/>
        </w:trPr>
        <w:tc>
          <w:tcPr>
            <w:tcW w:w="515" w:type="pct"/>
            <w:vAlign w:val="center"/>
          </w:tcPr>
          <w:p w14:paraId="588F3120" w14:textId="6DB5B0D4"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设区市</w:t>
            </w:r>
          </w:p>
        </w:tc>
        <w:tc>
          <w:tcPr>
            <w:tcW w:w="374" w:type="pct"/>
            <w:shd w:val="clear" w:color="auto" w:fill="auto"/>
            <w:vAlign w:val="center"/>
          </w:tcPr>
          <w:p w14:paraId="1EA08E05" w14:textId="708C7C73"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杭州</w:t>
            </w:r>
          </w:p>
        </w:tc>
        <w:tc>
          <w:tcPr>
            <w:tcW w:w="374" w:type="pct"/>
            <w:shd w:val="clear" w:color="auto" w:fill="auto"/>
            <w:vAlign w:val="center"/>
          </w:tcPr>
          <w:p w14:paraId="10750806" w14:textId="77777777"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宁波</w:t>
            </w:r>
          </w:p>
        </w:tc>
        <w:tc>
          <w:tcPr>
            <w:tcW w:w="374" w:type="pct"/>
            <w:shd w:val="clear" w:color="auto" w:fill="auto"/>
            <w:vAlign w:val="center"/>
          </w:tcPr>
          <w:p w14:paraId="74C1761D" w14:textId="77777777"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温州</w:t>
            </w:r>
          </w:p>
        </w:tc>
        <w:tc>
          <w:tcPr>
            <w:tcW w:w="374" w:type="pct"/>
            <w:shd w:val="clear" w:color="auto" w:fill="auto"/>
            <w:vAlign w:val="center"/>
          </w:tcPr>
          <w:p w14:paraId="3CDD2F9F" w14:textId="5A3765A1"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湖州</w:t>
            </w:r>
          </w:p>
        </w:tc>
        <w:tc>
          <w:tcPr>
            <w:tcW w:w="374" w:type="pct"/>
            <w:shd w:val="clear" w:color="auto" w:fill="auto"/>
            <w:vAlign w:val="center"/>
          </w:tcPr>
          <w:p w14:paraId="0C78AE9F" w14:textId="13C72732"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嘉兴</w:t>
            </w:r>
          </w:p>
        </w:tc>
        <w:tc>
          <w:tcPr>
            <w:tcW w:w="374" w:type="pct"/>
            <w:shd w:val="clear" w:color="auto" w:fill="auto"/>
            <w:vAlign w:val="center"/>
          </w:tcPr>
          <w:p w14:paraId="0CCFC4A9" w14:textId="77777777"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绍兴</w:t>
            </w:r>
          </w:p>
        </w:tc>
        <w:tc>
          <w:tcPr>
            <w:tcW w:w="374" w:type="pct"/>
            <w:shd w:val="clear" w:color="auto" w:fill="auto"/>
            <w:vAlign w:val="center"/>
          </w:tcPr>
          <w:p w14:paraId="19B83208" w14:textId="77777777"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金华</w:t>
            </w:r>
          </w:p>
        </w:tc>
        <w:tc>
          <w:tcPr>
            <w:tcW w:w="374" w:type="pct"/>
            <w:shd w:val="clear" w:color="auto" w:fill="auto"/>
            <w:vAlign w:val="center"/>
          </w:tcPr>
          <w:p w14:paraId="4A641DF2" w14:textId="77777777"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衢州</w:t>
            </w:r>
          </w:p>
        </w:tc>
        <w:tc>
          <w:tcPr>
            <w:tcW w:w="374" w:type="pct"/>
            <w:shd w:val="clear" w:color="auto" w:fill="auto"/>
            <w:vAlign w:val="center"/>
          </w:tcPr>
          <w:p w14:paraId="7DDD99DD" w14:textId="77777777"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舟山</w:t>
            </w:r>
          </w:p>
        </w:tc>
        <w:tc>
          <w:tcPr>
            <w:tcW w:w="374" w:type="pct"/>
            <w:shd w:val="clear" w:color="auto" w:fill="auto"/>
            <w:vAlign w:val="center"/>
          </w:tcPr>
          <w:p w14:paraId="3964A208" w14:textId="77777777"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台州</w:t>
            </w:r>
          </w:p>
        </w:tc>
        <w:tc>
          <w:tcPr>
            <w:tcW w:w="374" w:type="pct"/>
            <w:shd w:val="clear" w:color="auto" w:fill="auto"/>
            <w:vAlign w:val="center"/>
          </w:tcPr>
          <w:p w14:paraId="64A8D25D" w14:textId="77777777"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丽水</w:t>
            </w:r>
          </w:p>
        </w:tc>
        <w:tc>
          <w:tcPr>
            <w:tcW w:w="369" w:type="pct"/>
            <w:vAlign w:val="center"/>
          </w:tcPr>
          <w:p w14:paraId="345FA28A" w14:textId="161D9800" w:rsidR="00D2042F" w:rsidRPr="00C1181A"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C1181A">
              <w:rPr>
                <w:rFonts w:ascii="Times New Roman" w:eastAsia="仿宋_GB2312" w:hAnsi="Times New Roman" w:cs="Times New Roman"/>
                <w:bCs/>
                <w:kern w:val="44"/>
                <w:sz w:val="22"/>
              </w:rPr>
              <w:t>全省</w:t>
            </w:r>
          </w:p>
        </w:tc>
      </w:tr>
      <w:tr w:rsidR="00D2042F" w:rsidRPr="00E95B6F" w14:paraId="63070DAB" w14:textId="77777777" w:rsidTr="00FA24F3">
        <w:trPr>
          <w:trHeight w:val="321"/>
          <w:jc w:val="center"/>
        </w:trPr>
        <w:tc>
          <w:tcPr>
            <w:tcW w:w="515" w:type="pct"/>
            <w:vAlign w:val="center"/>
          </w:tcPr>
          <w:p w14:paraId="6E4D9FF0"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5FDEF709" w14:textId="32FD9BD2" w:rsidR="00D2042F" w:rsidRPr="00FB0069" w:rsidRDefault="00D2042F" w:rsidP="00D2042F">
            <w:pPr>
              <w:ind w:leftChars="-50" w:left="-105" w:rightChars="-50" w:right="-105"/>
              <w:jc w:val="center"/>
              <w:rPr>
                <w:rFonts w:ascii="Times New Roman" w:hAnsi="Times New Roman" w:cs="Times New Roman"/>
                <w:sz w:val="22"/>
              </w:rPr>
            </w:pPr>
            <w:r w:rsidRPr="008213AD">
              <w:rPr>
                <w:rFonts w:ascii="Times New Roman" w:eastAsia="仿宋_GB2312" w:hAnsi="Times New Roman" w:cs="Times New Roman"/>
                <w:bCs/>
                <w:kern w:val="44"/>
                <w:sz w:val="22"/>
              </w:rPr>
              <w:t>（家）</w:t>
            </w:r>
          </w:p>
        </w:tc>
        <w:tc>
          <w:tcPr>
            <w:tcW w:w="374" w:type="pct"/>
            <w:shd w:val="clear" w:color="auto" w:fill="auto"/>
            <w:vAlign w:val="center"/>
          </w:tcPr>
          <w:p w14:paraId="7F58C146" w14:textId="660CBEAA" w:rsidR="00D2042F" w:rsidRPr="00FB0069" w:rsidRDefault="003B1BFE"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5</w:t>
            </w:r>
            <w:r>
              <w:rPr>
                <w:rFonts w:ascii="Times New Roman" w:hAnsi="Times New Roman" w:cs="Times New Roman"/>
                <w:sz w:val="22"/>
              </w:rPr>
              <w:t>2</w:t>
            </w:r>
          </w:p>
        </w:tc>
        <w:tc>
          <w:tcPr>
            <w:tcW w:w="374" w:type="pct"/>
            <w:shd w:val="clear" w:color="auto" w:fill="auto"/>
            <w:vAlign w:val="center"/>
          </w:tcPr>
          <w:p w14:paraId="0AFB96E4" w14:textId="40302820" w:rsidR="00D2042F" w:rsidRPr="00FB0069" w:rsidRDefault="003B1BFE"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2</w:t>
            </w:r>
            <w:r>
              <w:rPr>
                <w:rFonts w:ascii="Times New Roman" w:hAnsi="Times New Roman" w:cs="Times New Roman"/>
                <w:sz w:val="22"/>
              </w:rPr>
              <w:t>1</w:t>
            </w:r>
          </w:p>
        </w:tc>
        <w:tc>
          <w:tcPr>
            <w:tcW w:w="374" w:type="pct"/>
            <w:shd w:val="clear" w:color="auto" w:fill="auto"/>
            <w:vAlign w:val="center"/>
          </w:tcPr>
          <w:p w14:paraId="70D85110" w14:textId="2E06C171" w:rsidR="00D2042F" w:rsidRPr="00FB0069" w:rsidRDefault="003B1BFE"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41</w:t>
            </w:r>
          </w:p>
        </w:tc>
        <w:tc>
          <w:tcPr>
            <w:tcW w:w="374" w:type="pct"/>
            <w:shd w:val="clear" w:color="auto" w:fill="auto"/>
            <w:vAlign w:val="center"/>
          </w:tcPr>
          <w:p w14:paraId="35AAC168" w14:textId="7C1846CA" w:rsidR="00D2042F" w:rsidRPr="00FB0069" w:rsidRDefault="00A31D86"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4</w:t>
            </w:r>
            <w:r>
              <w:rPr>
                <w:rFonts w:ascii="Times New Roman" w:hAnsi="Times New Roman" w:cs="Times New Roman"/>
                <w:sz w:val="22"/>
              </w:rPr>
              <w:t>3</w:t>
            </w:r>
          </w:p>
        </w:tc>
        <w:tc>
          <w:tcPr>
            <w:tcW w:w="374" w:type="pct"/>
            <w:shd w:val="clear" w:color="auto" w:fill="auto"/>
            <w:vAlign w:val="center"/>
          </w:tcPr>
          <w:p w14:paraId="72CA9084" w14:textId="3BFD6E26" w:rsidR="00D2042F" w:rsidRPr="00FB0069" w:rsidRDefault="00A31D86"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5</w:t>
            </w:r>
            <w:r>
              <w:rPr>
                <w:rFonts w:ascii="Times New Roman" w:hAnsi="Times New Roman" w:cs="Times New Roman"/>
                <w:sz w:val="22"/>
              </w:rPr>
              <w:t>3</w:t>
            </w:r>
          </w:p>
        </w:tc>
        <w:tc>
          <w:tcPr>
            <w:tcW w:w="374" w:type="pct"/>
            <w:shd w:val="clear" w:color="auto" w:fill="auto"/>
            <w:vAlign w:val="center"/>
          </w:tcPr>
          <w:p w14:paraId="6016FAB5" w14:textId="56E5B743" w:rsidR="00D2042F" w:rsidRPr="00FB0069" w:rsidRDefault="00A31D86"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4</w:t>
            </w:r>
          </w:p>
        </w:tc>
        <w:tc>
          <w:tcPr>
            <w:tcW w:w="374" w:type="pct"/>
            <w:shd w:val="clear" w:color="auto" w:fill="auto"/>
            <w:vAlign w:val="center"/>
          </w:tcPr>
          <w:p w14:paraId="6C9CDB2D" w14:textId="559A6EED" w:rsidR="00D2042F" w:rsidRPr="00FB0069" w:rsidRDefault="00A31D86"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2</w:t>
            </w:r>
          </w:p>
        </w:tc>
        <w:tc>
          <w:tcPr>
            <w:tcW w:w="374" w:type="pct"/>
            <w:shd w:val="clear" w:color="auto" w:fill="auto"/>
            <w:vAlign w:val="center"/>
          </w:tcPr>
          <w:p w14:paraId="58913CFD" w14:textId="55B2C075" w:rsidR="00D2042F" w:rsidRPr="00FB0069" w:rsidRDefault="00A31D86"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w:t>
            </w:r>
          </w:p>
        </w:tc>
        <w:tc>
          <w:tcPr>
            <w:tcW w:w="374" w:type="pct"/>
            <w:shd w:val="clear" w:color="auto" w:fill="auto"/>
            <w:vAlign w:val="center"/>
          </w:tcPr>
          <w:p w14:paraId="56DDA8A0" w14:textId="5893FD9D" w:rsidR="00D2042F" w:rsidRPr="00FB0069" w:rsidRDefault="00A31D86"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0</w:t>
            </w:r>
          </w:p>
        </w:tc>
        <w:tc>
          <w:tcPr>
            <w:tcW w:w="374" w:type="pct"/>
            <w:shd w:val="clear" w:color="auto" w:fill="auto"/>
            <w:vAlign w:val="center"/>
          </w:tcPr>
          <w:p w14:paraId="109ADF7D" w14:textId="0129430F" w:rsidR="00D2042F" w:rsidRPr="00FB0069" w:rsidRDefault="00A31D86"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3</w:t>
            </w:r>
            <w:r>
              <w:rPr>
                <w:rFonts w:ascii="Times New Roman" w:hAnsi="Times New Roman" w:cs="Times New Roman"/>
                <w:sz w:val="22"/>
              </w:rPr>
              <w:t>9</w:t>
            </w:r>
          </w:p>
        </w:tc>
        <w:tc>
          <w:tcPr>
            <w:tcW w:w="374" w:type="pct"/>
            <w:vAlign w:val="center"/>
          </w:tcPr>
          <w:p w14:paraId="05DE58DE" w14:textId="03E10A7B" w:rsidR="00D2042F" w:rsidRPr="00FB0069" w:rsidRDefault="00A31D86"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0</w:t>
            </w:r>
          </w:p>
        </w:tc>
        <w:tc>
          <w:tcPr>
            <w:tcW w:w="369" w:type="pct"/>
            <w:shd w:val="clear" w:color="auto" w:fill="auto"/>
            <w:vAlign w:val="center"/>
          </w:tcPr>
          <w:p w14:paraId="207C7E54" w14:textId="719B8F62" w:rsidR="00D2042F" w:rsidRPr="00C1181A" w:rsidRDefault="00A31D86"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3</w:t>
            </w:r>
            <w:r>
              <w:rPr>
                <w:rFonts w:ascii="Times New Roman" w:hAnsi="Times New Roman" w:cs="Times New Roman"/>
                <w:sz w:val="22"/>
              </w:rPr>
              <w:t>65</w:t>
            </w:r>
          </w:p>
        </w:tc>
      </w:tr>
      <w:tr w:rsidR="00D2042F" w:rsidRPr="00E95B6F" w14:paraId="4D393236" w14:textId="77777777" w:rsidTr="00FA24F3">
        <w:trPr>
          <w:trHeight w:val="422"/>
          <w:jc w:val="center"/>
        </w:trPr>
        <w:tc>
          <w:tcPr>
            <w:tcW w:w="515" w:type="pct"/>
            <w:vAlign w:val="center"/>
          </w:tcPr>
          <w:p w14:paraId="464F94D7"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391C187A" w14:textId="760DD5DE" w:rsidR="00D2042F" w:rsidRPr="00FB0069" w:rsidRDefault="00D2042F" w:rsidP="00D2042F">
            <w:pPr>
              <w:ind w:leftChars="-50" w:left="-105" w:rightChars="-50" w:right="-105"/>
              <w:jc w:val="center"/>
              <w:rPr>
                <w:rFonts w:ascii="Times New Roman" w:hAnsi="Times New Roman" w:cs="Times New Roman"/>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74" w:type="pct"/>
            <w:shd w:val="clear" w:color="auto" w:fill="auto"/>
            <w:vAlign w:val="center"/>
          </w:tcPr>
          <w:p w14:paraId="51CD7AA0" w14:textId="07B80172"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4" w:type="pct"/>
            <w:shd w:val="clear" w:color="auto" w:fill="auto"/>
            <w:vAlign w:val="center"/>
          </w:tcPr>
          <w:p w14:paraId="52E6310D" w14:textId="07FEAF3F" w:rsidR="00D2042F" w:rsidRPr="00FB0069" w:rsidRDefault="003B1BFE" w:rsidP="00D2042F">
            <w:pPr>
              <w:ind w:leftChars="-50" w:left="-105" w:rightChars="-50" w:right="-105"/>
              <w:jc w:val="center"/>
              <w:rPr>
                <w:rFonts w:ascii="Times New Roman" w:hAnsi="Times New Roman" w:cs="Times New Roman"/>
                <w:sz w:val="22"/>
              </w:rPr>
            </w:pPr>
            <w:r>
              <w:rPr>
                <w:rFonts w:ascii="Times New Roman" w:hAnsi="Times New Roman" w:cs="Times New Roman"/>
                <w:sz w:val="22"/>
              </w:rPr>
              <w:t>100</w:t>
            </w:r>
          </w:p>
        </w:tc>
        <w:tc>
          <w:tcPr>
            <w:tcW w:w="374" w:type="pct"/>
            <w:shd w:val="clear" w:color="auto" w:fill="auto"/>
            <w:vAlign w:val="center"/>
          </w:tcPr>
          <w:p w14:paraId="63F4B343" w14:textId="1BA11991"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4" w:type="pct"/>
            <w:shd w:val="clear" w:color="auto" w:fill="auto"/>
            <w:vAlign w:val="center"/>
          </w:tcPr>
          <w:p w14:paraId="3D8DEEA0" w14:textId="0313B851" w:rsidR="00D2042F" w:rsidRPr="00FB0069" w:rsidRDefault="003B1BFE" w:rsidP="00D2042F">
            <w:pPr>
              <w:ind w:leftChars="-50" w:left="-105" w:rightChars="-50" w:right="-105"/>
              <w:jc w:val="center"/>
              <w:rPr>
                <w:rFonts w:ascii="Times New Roman" w:hAnsi="Times New Roman" w:cs="Times New Roman"/>
                <w:sz w:val="22"/>
              </w:rPr>
            </w:pPr>
            <w:r>
              <w:rPr>
                <w:rFonts w:ascii="Times New Roman" w:hAnsi="Times New Roman" w:cs="Times New Roman"/>
                <w:sz w:val="22"/>
              </w:rPr>
              <w:t>97.7</w:t>
            </w:r>
          </w:p>
        </w:tc>
        <w:tc>
          <w:tcPr>
            <w:tcW w:w="374" w:type="pct"/>
            <w:shd w:val="clear" w:color="auto" w:fill="auto"/>
            <w:vAlign w:val="center"/>
          </w:tcPr>
          <w:p w14:paraId="09084F70" w14:textId="34F8BCDA"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4" w:type="pct"/>
            <w:shd w:val="clear" w:color="auto" w:fill="auto"/>
            <w:vAlign w:val="center"/>
          </w:tcPr>
          <w:p w14:paraId="1EDC30F7" w14:textId="32A3FC7E"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4" w:type="pct"/>
            <w:shd w:val="clear" w:color="auto" w:fill="auto"/>
            <w:vAlign w:val="center"/>
          </w:tcPr>
          <w:p w14:paraId="004F2CD4" w14:textId="4DD48152"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4" w:type="pct"/>
            <w:shd w:val="clear" w:color="auto" w:fill="auto"/>
            <w:vAlign w:val="center"/>
          </w:tcPr>
          <w:p w14:paraId="78778439" w14:textId="64214580"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4" w:type="pct"/>
            <w:shd w:val="clear" w:color="auto" w:fill="auto"/>
            <w:vAlign w:val="center"/>
          </w:tcPr>
          <w:p w14:paraId="1C187C4A" w14:textId="1AE91016" w:rsidR="00D2042F" w:rsidRPr="00FB0069" w:rsidRDefault="00A31D86" w:rsidP="00D2042F">
            <w:pPr>
              <w:ind w:leftChars="-50" w:left="-105" w:rightChars="-50" w:right="-105"/>
              <w:jc w:val="center"/>
              <w:rPr>
                <w:rFonts w:ascii="Times New Roman" w:hAnsi="Times New Roman" w:cs="Times New Roman"/>
                <w:sz w:val="22"/>
              </w:rPr>
            </w:pPr>
            <w:r>
              <w:rPr>
                <w:rFonts w:ascii="Times New Roman" w:hAnsi="Times New Roman" w:cs="Times New Roman"/>
                <w:sz w:val="22"/>
              </w:rPr>
              <w:t>/</w:t>
            </w:r>
          </w:p>
        </w:tc>
        <w:tc>
          <w:tcPr>
            <w:tcW w:w="374" w:type="pct"/>
            <w:shd w:val="clear" w:color="auto" w:fill="auto"/>
            <w:vAlign w:val="center"/>
          </w:tcPr>
          <w:p w14:paraId="7264F53A" w14:textId="10794272"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4" w:type="pct"/>
            <w:vAlign w:val="center"/>
          </w:tcPr>
          <w:p w14:paraId="3A39551D" w14:textId="678AB460" w:rsidR="00D2042F" w:rsidRPr="00FB0069" w:rsidRDefault="00A31D86" w:rsidP="00D2042F">
            <w:pPr>
              <w:ind w:leftChars="-50" w:left="-105" w:rightChars="-50" w:right="-105"/>
              <w:jc w:val="center"/>
              <w:rPr>
                <w:rFonts w:ascii="Times New Roman" w:hAnsi="Times New Roman" w:cs="Times New Roman"/>
                <w:sz w:val="22"/>
              </w:rPr>
            </w:pPr>
            <w:r>
              <w:rPr>
                <w:rFonts w:ascii="Times New Roman" w:hAnsi="Times New Roman" w:cs="Times New Roman"/>
                <w:sz w:val="22"/>
              </w:rPr>
              <w:t>/</w:t>
            </w:r>
          </w:p>
        </w:tc>
        <w:tc>
          <w:tcPr>
            <w:tcW w:w="369" w:type="pct"/>
            <w:shd w:val="clear" w:color="auto" w:fill="auto"/>
            <w:vAlign w:val="center"/>
          </w:tcPr>
          <w:p w14:paraId="2620A3D0" w14:textId="32DB8CB7" w:rsidR="00D2042F" w:rsidRPr="00C1181A" w:rsidRDefault="00D2042F" w:rsidP="00A31D8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9</w:t>
            </w:r>
            <w:r>
              <w:rPr>
                <w:rFonts w:ascii="Times New Roman" w:hAnsi="Times New Roman" w:cs="Times New Roman"/>
                <w:sz w:val="22"/>
              </w:rPr>
              <w:t>9.</w:t>
            </w:r>
            <w:r w:rsidR="00A31D86">
              <w:rPr>
                <w:rFonts w:ascii="Times New Roman" w:hAnsi="Times New Roman" w:cs="Times New Roman"/>
                <w:sz w:val="22"/>
              </w:rPr>
              <w:t>7</w:t>
            </w:r>
          </w:p>
        </w:tc>
      </w:tr>
    </w:tbl>
    <w:p w14:paraId="6F757922" w14:textId="1620F2F9" w:rsidR="00925F09" w:rsidRPr="00F70D6C" w:rsidRDefault="00735CC2"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存在超标的</w:t>
      </w:r>
      <w:r w:rsidR="000A1DC8">
        <w:rPr>
          <w:rFonts w:ascii="Times New Roman" w:eastAsia="仿宋_GB2312" w:hAnsi="Times New Roman" w:cs="Times New Roman" w:hint="eastAsia"/>
          <w:bCs/>
          <w:kern w:val="44"/>
          <w:sz w:val="28"/>
          <w:szCs w:val="28"/>
        </w:rPr>
        <w:t>单位</w:t>
      </w:r>
      <w:r w:rsidRPr="00F70D6C">
        <w:rPr>
          <w:rFonts w:ascii="Times New Roman" w:eastAsia="仿宋_GB2312" w:hAnsi="Times New Roman" w:cs="Times New Roman"/>
          <w:bCs/>
          <w:kern w:val="44"/>
          <w:sz w:val="28"/>
          <w:szCs w:val="28"/>
        </w:rPr>
        <w:t>共</w:t>
      </w:r>
      <w:r w:rsidR="00925F09" w:rsidRPr="00F70D6C">
        <w:rPr>
          <w:rFonts w:ascii="Times New Roman" w:eastAsia="仿宋_GB2312" w:hAnsi="Times New Roman" w:cs="Times New Roman"/>
          <w:bCs/>
          <w:kern w:val="44"/>
          <w:sz w:val="28"/>
          <w:szCs w:val="28"/>
        </w:rPr>
        <w:t>1</w:t>
      </w:r>
      <w:r w:rsidRPr="00F70D6C">
        <w:rPr>
          <w:rFonts w:ascii="Times New Roman" w:eastAsia="仿宋_GB2312" w:hAnsi="Times New Roman" w:cs="Times New Roman"/>
          <w:bCs/>
          <w:kern w:val="44"/>
          <w:sz w:val="28"/>
          <w:szCs w:val="28"/>
        </w:rPr>
        <w:t>家，</w:t>
      </w:r>
      <w:r w:rsidR="00925F09" w:rsidRPr="00F70D6C">
        <w:rPr>
          <w:rFonts w:ascii="Times New Roman" w:eastAsia="仿宋_GB2312" w:hAnsi="Times New Roman" w:cs="Times New Roman" w:hint="eastAsia"/>
          <w:bCs/>
          <w:kern w:val="44"/>
          <w:sz w:val="28"/>
          <w:szCs w:val="28"/>
        </w:rPr>
        <w:t>位于</w:t>
      </w:r>
      <w:r w:rsidRPr="00F70D6C">
        <w:rPr>
          <w:rFonts w:ascii="Times New Roman" w:eastAsia="仿宋_GB2312" w:hAnsi="Times New Roman" w:cs="Times New Roman" w:hint="eastAsia"/>
          <w:bCs/>
          <w:kern w:val="44"/>
          <w:sz w:val="28"/>
          <w:szCs w:val="28"/>
        </w:rPr>
        <w:t>湖州</w:t>
      </w:r>
      <w:r w:rsidR="00925F09" w:rsidRPr="00F70D6C">
        <w:rPr>
          <w:rFonts w:ascii="Times New Roman" w:eastAsia="仿宋_GB2312" w:hAnsi="Times New Roman" w:cs="Times New Roman" w:hint="eastAsia"/>
          <w:bCs/>
          <w:kern w:val="44"/>
          <w:sz w:val="28"/>
          <w:szCs w:val="28"/>
        </w:rPr>
        <w:t>，超标行业为</w:t>
      </w:r>
      <w:r w:rsidR="00A31D86">
        <w:rPr>
          <w:rFonts w:ascii="Times New Roman" w:eastAsia="仿宋_GB2312" w:hAnsi="Times New Roman" w:cs="Times New Roman" w:hint="eastAsia"/>
          <w:bCs/>
          <w:kern w:val="44"/>
          <w:sz w:val="28"/>
          <w:szCs w:val="28"/>
        </w:rPr>
        <w:t>金属制品</w:t>
      </w:r>
      <w:r w:rsidR="00925F09" w:rsidRPr="00F70D6C">
        <w:rPr>
          <w:rFonts w:ascii="Times New Roman" w:eastAsia="仿宋_GB2312" w:hAnsi="Times New Roman" w:cs="Times New Roman" w:hint="eastAsia"/>
          <w:bCs/>
          <w:kern w:val="44"/>
          <w:sz w:val="28"/>
          <w:szCs w:val="28"/>
        </w:rPr>
        <w:t>业，超</w:t>
      </w:r>
      <w:r w:rsidR="00925F09" w:rsidRPr="00F70D6C">
        <w:rPr>
          <w:rFonts w:ascii="Times New Roman" w:eastAsia="仿宋_GB2312" w:hAnsi="Times New Roman" w:cs="Times New Roman" w:hint="eastAsia"/>
          <w:bCs/>
          <w:kern w:val="44"/>
          <w:sz w:val="28"/>
          <w:szCs w:val="28"/>
        </w:rPr>
        <w:lastRenderedPageBreak/>
        <w:t>标指标为</w:t>
      </w:r>
      <w:r w:rsidR="00A31D86" w:rsidRPr="00A31D86">
        <w:rPr>
          <w:rFonts w:ascii="Times New Roman" w:eastAsia="仿宋_GB2312" w:hAnsi="Times New Roman" w:cs="Times New Roman" w:hint="eastAsia"/>
          <w:bCs/>
          <w:kern w:val="44"/>
          <w:sz w:val="28"/>
          <w:szCs w:val="28"/>
        </w:rPr>
        <w:t>铬酸雾</w:t>
      </w:r>
      <w:r w:rsidR="00925F09" w:rsidRPr="00F70D6C">
        <w:rPr>
          <w:rFonts w:ascii="Times New Roman" w:eastAsia="仿宋_GB2312" w:hAnsi="Times New Roman" w:cs="Times New Roman" w:hint="eastAsia"/>
          <w:bCs/>
          <w:kern w:val="44"/>
          <w:sz w:val="28"/>
          <w:szCs w:val="28"/>
        </w:rPr>
        <w:t>。</w:t>
      </w:r>
    </w:p>
    <w:p w14:paraId="6BD64609" w14:textId="34D3CF3D" w:rsidR="00856303" w:rsidRPr="00317502" w:rsidRDefault="006A7CB9" w:rsidP="001B765A">
      <w:pPr>
        <w:spacing w:beforeLines="20" w:before="62" w:afterLines="20" w:after="62" w:line="560" w:lineRule="exact"/>
        <w:ind w:firstLineChars="200" w:firstLine="562"/>
        <w:outlineLvl w:val="1"/>
        <w:rPr>
          <w:rFonts w:ascii="仿宋" w:eastAsia="仿宋" w:hAnsi="仿宋" w:cs="Times New Roman"/>
          <w:b/>
          <w:bCs/>
          <w:kern w:val="44"/>
          <w:sz w:val="28"/>
          <w:szCs w:val="28"/>
        </w:rPr>
      </w:pPr>
      <w:bookmarkStart w:id="7" w:name="_Toc126401598"/>
      <w:r w:rsidRPr="00317502">
        <w:rPr>
          <w:rFonts w:ascii="仿宋" w:eastAsia="仿宋" w:hAnsi="仿宋" w:cs="Times New Roman" w:hint="eastAsia"/>
          <w:b/>
          <w:bCs/>
          <w:kern w:val="44"/>
          <w:sz w:val="28"/>
          <w:szCs w:val="28"/>
        </w:rPr>
        <w:t>（</w:t>
      </w:r>
      <w:r w:rsidR="00317502" w:rsidRPr="00317502">
        <w:rPr>
          <w:rFonts w:ascii="仿宋" w:eastAsia="仿宋" w:hAnsi="仿宋" w:cs="Times New Roman" w:hint="eastAsia"/>
          <w:b/>
          <w:bCs/>
          <w:kern w:val="44"/>
          <w:sz w:val="28"/>
          <w:szCs w:val="28"/>
        </w:rPr>
        <w:t>五</w:t>
      </w:r>
      <w:r w:rsidRPr="00317502">
        <w:rPr>
          <w:rFonts w:ascii="仿宋" w:eastAsia="仿宋" w:hAnsi="仿宋" w:cs="Times New Roman" w:hint="eastAsia"/>
          <w:b/>
          <w:bCs/>
          <w:kern w:val="44"/>
          <w:sz w:val="28"/>
          <w:szCs w:val="28"/>
        </w:rPr>
        <w:t>）</w:t>
      </w:r>
      <w:r w:rsidR="00856303" w:rsidRPr="00317502">
        <w:rPr>
          <w:rFonts w:ascii="仿宋" w:eastAsia="仿宋" w:hAnsi="仿宋" w:cs="Times New Roman"/>
          <w:b/>
          <w:bCs/>
          <w:kern w:val="44"/>
          <w:sz w:val="28"/>
          <w:szCs w:val="28"/>
        </w:rPr>
        <w:t>生活垃圾焚烧厂</w:t>
      </w:r>
      <w:bookmarkEnd w:id="7"/>
    </w:p>
    <w:p w14:paraId="1649A59B" w14:textId="230FB107" w:rsidR="00856303" w:rsidRPr="00317502" w:rsidRDefault="006A7CB9" w:rsidP="00F70D6C">
      <w:pPr>
        <w:spacing w:line="560" w:lineRule="exact"/>
        <w:ind w:firstLineChars="200" w:firstLine="560"/>
        <w:rPr>
          <w:rFonts w:ascii="Times New Roman" w:eastAsia="仿宋_GB2312" w:hAnsi="Times New Roman" w:cs="Times New Roman"/>
          <w:bCs/>
          <w:kern w:val="44"/>
          <w:sz w:val="28"/>
          <w:szCs w:val="28"/>
        </w:rPr>
      </w:pPr>
      <w:r w:rsidRPr="00317502">
        <w:rPr>
          <w:rFonts w:ascii="Times New Roman" w:eastAsia="仿宋_GB2312" w:hAnsi="Times New Roman" w:cs="Times New Roman" w:hint="eastAsia"/>
          <w:bCs/>
          <w:kern w:val="44"/>
          <w:sz w:val="28"/>
          <w:szCs w:val="28"/>
        </w:rPr>
        <w:t>1</w:t>
      </w:r>
      <w:r w:rsidR="00317502">
        <w:rPr>
          <w:rFonts w:ascii="Times New Roman" w:eastAsia="仿宋_GB2312" w:hAnsi="Times New Roman" w:cs="Times New Roman" w:hint="eastAsia"/>
          <w:bCs/>
          <w:kern w:val="44"/>
          <w:sz w:val="28"/>
          <w:szCs w:val="28"/>
        </w:rPr>
        <w:t>.</w:t>
      </w:r>
      <w:r w:rsidR="00856303" w:rsidRPr="00317502">
        <w:rPr>
          <w:rFonts w:ascii="Times New Roman" w:eastAsia="仿宋_GB2312" w:hAnsi="Times New Roman" w:cs="Times New Roman"/>
          <w:bCs/>
          <w:kern w:val="44"/>
          <w:sz w:val="28"/>
          <w:szCs w:val="28"/>
        </w:rPr>
        <w:t>废水监测情况</w:t>
      </w:r>
    </w:p>
    <w:p w14:paraId="49FD692B" w14:textId="124C48AF" w:rsidR="00856303" w:rsidRPr="00F70D6C" w:rsidRDefault="00856303"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全省共</w:t>
      </w:r>
      <w:r w:rsidR="00450FF7" w:rsidRPr="00F70D6C">
        <w:rPr>
          <w:rFonts w:ascii="Times New Roman" w:eastAsia="仿宋_GB2312" w:hAnsi="Times New Roman" w:cs="Times New Roman"/>
          <w:bCs/>
          <w:kern w:val="44"/>
          <w:sz w:val="28"/>
          <w:szCs w:val="28"/>
        </w:rPr>
        <w:t>9</w:t>
      </w:r>
      <w:r w:rsidR="005A11B4" w:rsidRPr="00F70D6C">
        <w:rPr>
          <w:rFonts w:ascii="Times New Roman" w:eastAsia="仿宋_GB2312" w:hAnsi="Times New Roman" w:cs="Times New Roman"/>
          <w:bCs/>
          <w:kern w:val="44"/>
          <w:sz w:val="28"/>
          <w:szCs w:val="28"/>
        </w:rPr>
        <w:t>个</w:t>
      </w:r>
      <w:r w:rsidR="005A11B4" w:rsidRPr="00F70D6C">
        <w:rPr>
          <w:rFonts w:ascii="Times New Roman" w:eastAsia="仿宋_GB2312" w:hAnsi="Times New Roman" w:cs="Times New Roman" w:hint="eastAsia"/>
          <w:bCs/>
          <w:kern w:val="44"/>
          <w:sz w:val="28"/>
          <w:szCs w:val="28"/>
        </w:rPr>
        <w:t>设区</w:t>
      </w:r>
      <w:r w:rsidRPr="00F70D6C">
        <w:rPr>
          <w:rFonts w:ascii="Times New Roman" w:eastAsia="仿宋_GB2312" w:hAnsi="Times New Roman" w:cs="Times New Roman"/>
          <w:bCs/>
          <w:kern w:val="44"/>
          <w:sz w:val="28"/>
          <w:szCs w:val="28"/>
        </w:rPr>
        <w:t>市开展了</w:t>
      </w:r>
      <w:r w:rsidR="00172449" w:rsidRPr="00F70D6C">
        <w:rPr>
          <w:rFonts w:ascii="Times New Roman" w:eastAsia="仿宋_GB2312" w:hAnsi="Times New Roman" w:cs="Times New Roman"/>
          <w:bCs/>
          <w:kern w:val="44"/>
          <w:sz w:val="28"/>
          <w:szCs w:val="28"/>
        </w:rPr>
        <w:t>生活垃圾焚烧厂</w:t>
      </w:r>
      <w:r w:rsidRPr="00F70D6C">
        <w:rPr>
          <w:rFonts w:ascii="Times New Roman" w:eastAsia="仿宋_GB2312" w:hAnsi="Times New Roman" w:cs="Times New Roman"/>
          <w:bCs/>
          <w:kern w:val="44"/>
          <w:sz w:val="28"/>
          <w:szCs w:val="28"/>
        </w:rPr>
        <w:t>废水排放监测，</w:t>
      </w:r>
      <w:r w:rsidR="00FA24F3">
        <w:rPr>
          <w:rFonts w:ascii="Times New Roman" w:eastAsia="仿宋_GB2312" w:hAnsi="Times New Roman" w:cs="Times New Roman" w:hint="eastAsia"/>
          <w:bCs/>
          <w:kern w:val="44"/>
          <w:sz w:val="28"/>
          <w:szCs w:val="28"/>
        </w:rPr>
        <w:t>排污单位</w:t>
      </w:r>
      <w:r w:rsidRPr="00F70D6C">
        <w:rPr>
          <w:rFonts w:ascii="Times New Roman" w:eastAsia="仿宋_GB2312" w:hAnsi="Times New Roman" w:cs="Times New Roman"/>
          <w:bCs/>
          <w:kern w:val="44"/>
          <w:sz w:val="28"/>
          <w:szCs w:val="28"/>
        </w:rPr>
        <w:t>数为</w:t>
      </w:r>
      <w:r w:rsidR="00EF0EF7">
        <w:rPr>
          <w:rFonts w:ascii="Times New Roman" w:eastAsia="仿宋_GB2312" w:hAnsi="Times New Roman" w:cs="Times New Roman"/>
          <w:bCs/>
          <w:kern w:val="44"/>
          <w:sz w:val="28"/>
          <w:szCs w:val="28"/>
        </w:rPr>
        <w:t>45</w:t>
      </w:r>
      <w:r w:rsidRPr="00F70D6C">
        <w:rPr>
          <w:rFonts w:ascii="Times New Roman" w:eastAsia="仿宋_GB2312" w:hAnsi="Times New Roman" w:cs="Times New Roman"/>
          <w:bCs/>
          <w:kern w:val="44"/>
          <w:sz w:val="28"/>
          <w:szCs w:val="28"/>
        </w:rPr>
        <w:t>家，达标率为</w:t>
      </w:r>
      <w:r w:rsidR="00EF0EF7">
        <w:rPr>
          <w:rFonts w:ascii="Times New Roman" w:eastAsia="仿宋_GB2312" w:hAnsi="Times New Roman" w:cs="Times New Roman"/>
          <w:bCs/>
          <w:kern w:val="44"/>
          <w:sz w:val="28"/>
          <w:szCs w:val="28"/>
        </w:rPr>
        <w:t>95.1</w:t>
      </w:r>
      <w:r w:rsidRPr="00F70D6C">
        <w:rPr>
          <w:rFonts w:ascii="Times New Roman" w:eastAsia="仿宋_GB2312" w:hAnsi="Times New Roman" w:cs="Times New Roman"/>
          <w:bCs/>
          <w:kern w:val="44"/>
          <w:sz w:val="28"/>
          <w:szCs w:val="28"/>
        </w:rPr>
        <w:t>%</w:t>
      </w:r>
      <w:r w:rsidR="00450FF7" w:rsidRPr="00F70D6C">
        <w:rPr>
          <w:rFonts w:ascii="Times New Roman" w:eastAsia="仿宋_GB2312" w:hAnsi="Times New Roman" w:cs="Times New Roman" w:hint="eastAsia"/>
          <w:bCs/>
          <w:kern w:val="44"/>
          <w:sz w:val="28"/>
          <w:szCs w:val="28"/>
        </w:rPr>
        <w:t>，较上年</w:t>
      </w:r>
      <w:r w:rsidR="00EF0EF7">
        <w:rPr>
          <w:rFonts w:ascii="Times New Roman" w:eastAsia="仿宋_GB2312" w:hAnsi="Times New Roman" w:cs="Times New Roman" w:hint="eastAsia"/>
          <w:bCs/>
          <w:kern w:val="44"/>
          <w:sz w:val="28"/>
          <w:szCs w:val="28"/>
        </w:rPr>
        <w:t>下降</w:t>
      </w:r>
      <w:r w:rsidR="00EF0EF7">
        <w:rPr>
          <w:rFonts w:ascii="Times New Roman" w:eastAsia="仿宋_GB2312" w:hAnsi="Times New Roman" w:cs="Times New Roman" w:hint="eastAsia"/>
          <w:bCs/>
          <w:kern w:val="44"/>
          <w:sz w:val="28"/>
          <w:szCs w:val="28"/>
        </w:rPr>
        <w:t>4</w:t>
      </w:r>
      <w:r w:rsidR="00EF0EF7">
        <w:rPr>
          <w:rFonts w:ascii="Times New Roman" w:eastAsia="仿宋_GB2312" w:hAnsi="Times New Roman" w:cs="Times New Roman"/>
          <w:bCs/>
          <w:kern w:val="44"/>
          <w:sz w:val="28"/>
          <w:szCs w:val="28"/>
        </w:rPr>
        <w:t>.9</w:t>
      </w:r>
      <w:r w:rsidR="00450FF7" w:rsidRPr="00F70D6C">
        <w:rPr>
          <w:rFonts w:ascii="Times New Roman" w:eastAsia="仿宋_GB2312" w:hAnsi="Times New Roman" w:cs="Times New Roman" w:hint="eastAsia"/>
          <w:bCs/>
          <w:kern w:val="44"/>
          <w:sz w:val="28"/>
          <w:szCs w:val="28"/>
        </w:rPr>
        <w:t>个百分点</w:t>
      </w:r>
      <w:r w:rsidRPr="00F70D6C">
        <w:rPr>
          <w:rFonts w:ascii="Times New Roman" w:eastAsia="仿宋_GB2312" w:hAnsi="Times New Roman" w:cs="Times New Roman"/>
          <w:bCs/>
          <w:kern w:val="44"/>
          <w:sz w:val="28"/>
          <w:szCs w:val="28"/>
        </w:rPr>
        <w:t>。</w:t>
      </w:r>
      <w:r w:rsidR="006B3F21" w:rsidRPr="00F70D6C">
        <w:rPr>
          <w:rFonts w:ascii="Times New Roman" w:eastAsia="仿宋_GB2312" w:hAnsi="Times New Roman" w:cs="Times New Roman"/>
          <w:bCs/>
          <w:kern w:val="44"/>
          <w:sz w:val="28"/>
          <w:szCs w:val="28"/>
        </w:rPr>
        <w:t>各设区市达标率</w:t>
      </w:r>
      <w:r w:rsidR="006B3F21" w:rsidRPr="00F70D6C">
        <w:rPr>
          <w:rFonts w:ascii="Times New Roman" w:eastAsia="仿宋_GB2312" w:hAnsi="Times New Roman" w:cs="Times New Roman" w:hint="eastAsia"/>
          <w:bCs/>
          <w:kern w:val="44"/>
          <w:sz w:val="28"/>
          <w:szCs w:val="28"/>
        </w:rPr>
        <w:t>范围为</w:t>
      </w:r>
      <w:r w:rsidR="006B3F21">
        <w:rPr>
          <w:rFonts w:ascii="Times New Roman" w:eastAsia="仿宋_GB2312" w:hAnsi="Times New Roman" w:cs="Times New Roman"/>
          <w:bCs/>
          <w:kern w:val="44"/>
          <w:sz w:val="28"/>
          <w:szCs w:val="28"/>
        </w:rPr>
        <w:t>75.0</w:t>
      </w:r>
      <w:r w:rsidR="006B3F21" w:rsidRPr="00F70D6C">
        <w:rPr>
          <w:rFonts w:ascii="Times New Roman" w:eastAsia="仿宋_GB2312" w:hAnsi="Times New Roman" w:cs="Times New Roman"/>
          <w:bCs/>
          <w:kern w:val="44"/>
          <w:sz w:val="28"/>
          <w:szCs w:val="28"/>
        </w:rPr>
        <w:t>%-100%</w:t>
      </w:r>
      <w:r w:rsidR="006B3F21">
        <w:rPr>
          <w:rFonts w:ascii="Times New Roman" w:eastAsia="仿宋_GB2312" w:hAnsi="Times New Roman" w:cs="Times New Roman" w:hint="eastAsia"/>
          <w:bCs/>
          <w:kern w:val="44"/>
          <w:sz w:val="28"/>
          <w:szCs w:val="28"/>
        </w:rPr>
        <w:t>。</w:t>
      </w:r>
    </w:p>
    <w:p w14:paraId="19B87735" w14:textId="15CE9970" w:rsidR="00856303" w:rsidRDefault="00856303" w:rsidP="00630A51">
      <w:pPr>
        <w:spacing w:line="56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E2F43">
        <w:rPr>
          <w:rFonts w:ascii="Times New Roman" w:eastAsia="仿宋_GB2312" w:hAnsi="Times New Roman" w:cs="Times New Roman"/>
          <w:b/>
          <w:sz w:val="24"/>
          <w:szCs w:val="24"/>
        </w:rPr>
        <w:t>10</w:t>
      </w:r>
      <w:r w:rsidRPr="00E95B6F">
        <w:rPr>
          <w:rFonts w:ascii="Times New Roman" w:eastAsia="仿宋_GB2312" w:hAnsi="Times New Roman" w:cs="Times New Roman"/>
          <w:b/>
          <w:sz w:val="24"/>
          <w:szCs w:val="24"/>
        </w:rPr>
        <w:t xml:space="preserve">    </w:t>
      </w:r>
      <w:r w:rsidR="00AC4945" w:rsidRPr="00E95B6F">
        <w:rPr>
          <w:rFonts w:ascii="Times New Roman" w:eastAsia="仿宋_GB2312" w:hAnsi="Times New Roman" w:cs="Times New Roman"/>
          <w:b/>
          <w:sz w:val="24"/>
          <w:szCs w:val="24"/>
        </w:rPr>
        <w:t>生活垃圾焚烧厂</w:t>
      </w:r>
      <w:r w:rsidR="00004C7D">
        <w:rPr>
          <w:rFonts w:ascii="Times New Roman" w:eastAsia="仿宋_GB2312" w:hAnsi="Times New Roman" w:cs="Times New Roman"/>
          <w:b/>
          <w:sz w:val="24"/>
          <w:szCs w:val="24"/>
        </w:rPr>
        <w:t>废水</w:t>
      </w:r>
      <w:r w:rsidR="000A1DC8">
        <w:rPr>
          <w:rFonts w:ascii="Times New Roman" w:eastAsia="仿宋_GB2312" w:hAnsi="Times New Roman" w:cs="Times New Roman" w:hint="eastAsia"/>
          <w:b/>
          <w:sz w:val="24"/>
          <w:szCs w:val="24"/>
        </w:rPr>
        <w:t>分区域</w:t>
      </w:r>
      <w:r w:rsidR="00004C7D">
        <w:rPr>
          <w:rFonts w:ascii="Times New Roman" w:eastAsia="仿宋_GB2312" w:hAnsi="Times New Roman" w:cs="Times New Roman"/>
          <w:b/>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627"/>
        <w:gridCol w:w="629"/>
        <w:gridCol w:w="627"/>
        <w:gridCol w:w="627"/>
        <w:gridCol w:w="627"/>
        <w:gridCol w:w="627"/>
        <w:gridCol w:w="626"/>
        <w:gridCol w:w="627"/>
        <w:gridCol w:w="624"/>
        <w:gridCol w:w="624"/>
        <w:gridCol w:w="624"/>
        <w:gridCol w:w="621"/>
      </w:tblGrid>
      <w:tr w:rsidR="006861C6" w:rsidRPr="00FB0069" w14:paraId="30ECFFC0" w14:textId="73B106A1" w:rsidTr="00F41EC6">
        <w:trPr>
          <w:trHeight w:val="526"/>
          <w:jc w:val="center"/>
        </w:trPr>
        <w:tc>
          <w:tcPr>
            <w:tcW w:w="474" w:type="pct"/>
            <w:vAlign w:val="center"/>
          </w:tcPr>
          <w:p w14:paraId="15081DAC" w14:textId="64B8CBB1"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设区市</w:t>
            </w:r>
          </w:p>
        </w:tc>
        <w:tc>
          <w:tcPr>
            <w:tcW w:w="378" w:type="pct"/>
            <w:shd w:val="clear" w:color="auto" w:fill="auto"/>
            <w:vAlign w:val="center"/>
          </w:tcPr>
          <w:p w14:paraId="50B9D027" w14:textId="3F43545C"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杭州</w:t>
            </w:r>
          </w:p>
        </w:tc>
        <w:tc>
          <w:tcPr>
            <w:tcW w:w="379" w:type="pct"/>
            <w:shd w:val="clear" w:color="auto" w:fill="auto"/>
            <w:vAlign w:val="center"/>
          </w:tcPr>
          <w:p w14:paraId="0373503F" w14:textId="7777777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宁波</w:t>
            </w:r>
          </w:p>
        </w:tc>
        <w:tc>
          <w:tcPr>
            <w:tcW w:w="378" w:type="pct"/>
            <w:shd w:val="clear" w:color="auto" w:fill="auto"/>
            <w:vAlign w:val="center"/>
          </w:tcPr>
          <w:p w14:paraId="79DA3FD3" w14:textId="7777777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温州</w:t>
            </w:r>
          </w:p>
        </w:tc>
        <w:tc>
          <w:tcPr>
            <w:tcW w:w="378" w:type="pct"/>
            <w:shd w:val="clear" w:color="auto" w:fill="auto"/>
            <w:vAlign w:val="center"/>
          </w:tcPr>
          <w:p w14:paraId="44CF71AC" w14:textId="44E8B25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湖州</w:t>
            </w:r>
          </w:p>
        </w:tc>
        <w:tc>
          <w:tcPr>
            <w:tcW w:w="378" w:type="pct"/>
            <w:shd w:val="clear" w:color="auto" w:fill="auto"/>
            <w:vAlign w:val="center"/>
          </w:tcPr>
          <w:p w14:paraId="65489C3D" w14:textId="2E0E8401"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嘉兴</w:t>
            </w:r>
          </w:p>
        </w:tc>
        <w:tc>
          <w:tcPr>
            <w:tcW w:w="378" w:type="pct"/>
            <w:shd w:val="clear" w:color="auto" w:fill="auto"/>
            <w:vAlign w:val="center"/>
          </w:tcPr>
          <w:p w14:paraId="2D9EB850" w14:textId="7777777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绍兴</w:t>
            </w:r>
          </w:p>
        </w:tc>
        <w:tc>
          <w:tcPr>
            <w:tcW w:w="377" w:type="pct"/>
            <w:shd w:val="clear" w:color="auto" w:fill="auto"/>
            <w:vAlign w:val="center"/>
          </w:tcPr>
          <w:p w14:paraId="3D119AF9" w14:textId="7777777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金华</w:t>
            </w:r>
          </w:p>
        </w:tc>
        <w:tc>
          <w:tcPr>
            <w:tcW w:w="378" w:type="pct"/>
            <w:shd w:val="clear" w:color="auto" w:fill="auto"/>
            <w:vAlign w:val="center"/>
          </w:tcPr>
          <w:p w14:paraId="677307FD" w14:textId="7777777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衢州</w:t>
            </w:r>
          </w:p>
        </w:tc>
        <w:tc>
          <w:tcPr>
            <w:tcW w:w="376" w:type="pct"/>
            <w:shd w:val="clear" w:color="auto" w:fill="auto"/>
            <w:vAlign w:val="center"/>
          </w:tcPr>
          <w:p w14:paraId="43066454" w14:textId="7777777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舟山</w:t>
            </w:r>
          </w:p>
        </w:tc>
        <w:tc>
          <w:tcPr>
            <w:tcW w:w="376" w:type="pct"/>
            <w:shd w:val="clear" w:color="auto" w:fill="auto"/>
            <w:vAlign w:val="center"/>
          </w:tcPr>
          <w:p w14:paraId="6743C82D" w14:textId="7777777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台州</w:t>
            </w:r>
          </w:p>
        </w:tc>
        <w:tc>
          <w:tcPr>
            <w:tcW w:w="376" w:type="pct"/>
            <w:shd w:val="clear" w:color="auto" w:fill="auto"/>
            <w:vAlign w:val="center"/>
          </w:tcPr>
          <w:p w14:paraId="2E634223" w14:textId="7777777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丽水</w:t>
            </w:r>
          </w:p>
        </w:tc>
        <w:tc>
          <w:tcPr>
            <w:tcW w:w="374" w:type="pct"/>
            <w:vAlign w:val="center"/>
          </w:tcPr>
          <w:p w14:paraId="1007B6BB" w14:textId="290897D3" w:rsidR="006861C6" w:rsidRPr="00D2042F"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D2042F">
              <w:rPr>
                <w:rFonts w:ascii="Times New Roman" w:eastAsia="仿宋_GB2312" w:hAnsi="Times New Roman" w:cs="Times New Roman"/>
                <w:bCs/>
                <w:kern w:val="44"/>
                <w:sz w:val="22"/>
              </w:rPr>
              <w:t>全省</w:t>
            </w:r>
          </w:p>
        </w:tc>
      </w:tr>
      <w:tr w:rsidR="006861C6" w:rsidRPr="00FB0069" w14:paraId="6A58B88B" w14:textId="7834F7A2" w:rsidTr="00F41EC6">
        <w:trPr>
          <w:trHeight w:val="321"/>
          <w:jc w:val="center"/>
        </w:trPr>
        <w:tc>
          <w:tcPr>
            <w:tcW w:w="474" w:type="pct"/>
            <w:vAlign w:val="center"/>
          </w:tcPr>
          <w:p w14:paraId="206B2A75" w14:textId="77777777" w:rsidR="006861C6" w:rsidRPr="008213AD"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54FFE579" w14:textId="4A488639" w:rsidR="006861C6" w:rsidRPr="00FB0069" w:rsidRDefault="006861C6" w:rsidP="006861C6">
            <w:pPr>
              <w:ind w:leftChars="-50" w:left="-105" w:rightChars="-50" w:right="-105"/>
              <w:jc w:val="center"/>
              <w:rPr>
                <w:rFonts w:ascii="Times New Roman" w:hAnsi="Times New Roman" w:cs="Times New Roman"/>
                <w:sz w:val="22"/>
              </w:rPr>
            </w:pPr>
            <w:r w:rsidRPr="008213AD">
              <w:rPr>
                <w:rFonts w:ascii="Times New Roman" w:eastAsia="仿宋_GB2312" w:hAnsi="Times New Roman" w:cs="Times New Roman"/>
                <w:bCs/>
                <w:kern w:val="44"/>
                <w:sz w:val="22"/>
              </w:rPr>
              <w:t>（家）</w:t>
            </w:r>
          </w:p>
        </w:tc>
        <w:tc>
          <w:tcPr>
            <w:tcW w:w="378" w:type="pct"/>
            <w:shd w:val="clear" w:color="auto" w:fill="auto"/>
            <w:vAlign w:val="center"/>
          </w:tcPr>
          <w:p w14:paraId="5D646D02" w14:textId="45486704" w:rsidR="006861C6" w:rsidRPr="00FB0069" w:rsidRDefault="005619D1"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4</w:t>
            </w:r>
          </w:p>
        </w:tc>
        <w:tc>
          <w:tcPr>
            <w:tcW w:w="379" w:type="pct"/>
            <w:shd w:val="clear" w:color="auto" w:fill="auto"/>
            <w:vAlign w:val="center"/>
          </w:tcPr>
          <w:p w14:paraId="70B6D0F2" w14:textId="18C1E3B1"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3</w:t>
            </w:r>
          </w:p>
        </w:tc>
        <w:tc>
          <w:tcPr>
            <w:tcW w:w="378" w:type="pct"/>
            <w:shd w:val="clear" w:color="auto" w:fill="auto"/>
            <w:vAlign w:val="center"/>
          </w:tcPr>
          <w:p w14:paraId="307AD158" w14:textId="3F888C2D"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8</w:t>
            </w:r>
          </w:p>
        </w:tc>
        <w:tc>
          <w:tcPr>
            <w:tcW w:w="378" w:type="pct"/>
            <w:shd w:val="clear" w:color="auto" w:fill="auto"/>
            <w:vAlign w:val="center"/>
          </w:tcPr>
          <w:p w14:paraId="72BDF981" w14:textId="72450337"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3</w:t>
            </w:r>
          </w:p>
        </w:tc>
        <w:tc>
          <w:tcPr>
            <w:tcW w:w="378" w:type="pct"/>
            <w:shd w:val="clear" w:color="auto" w:fill="auto"/>
            <w:vAlign w:val="center"/>
          </w:tcPr>
          <w:p w14:paraId="7D19B036" w14:textId="768401AB"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6</w:t>
            </w:r>
          </w:p>
        </w:tc>
        <w:tc>
          <w:tcPr>
            <w:tcW w:w="378" w:type="pct"/>
            <w:shd w:val="clear" w:color="auto" w:fill="auto"/>
            <w:vAlign w:val="center"/>
          </w:tcPr>
          <w:p w14:paraId="5D8A0C9D" w14:textId="627DCF53"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7</w:t>
            </w:r>
          </w:p>
        </w:tc>
        <w:tc>
          <w:tcPr>
            <w:tcW w:w="377" w:type="pct"/>
            <w:shd w:val="clear" w:color="auto" w:fill="auto"/>
            <w:vAlign w:val="center"/>
          </w:tcPr>
          <w:p w14:paraId="1412CCC3" w14:textId="72E1E27F"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3</w:t>
            </w:r>
          </w:p>
        </w:tc>
        <w:tc>
          <w:tcPr>
            <w:tcW w:w="378" w:type="pct"/>
            <w:shd w:val="clear" w:color="auto" w:fill="auto"/>
            <w:vAlign w:val="center"/>
          </w:tcPr>
          <w:p w14:paraId="304613A2" w14:textId="1356A0A8"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p>
        </w:tc>
        <w:tc>
          <w:tcPr>
            <w:tcW w:w="376" w:type="pct"/>
            <w:shd w:val="clear" w:color="auto" w:fill="auto"/>
            <w:vAlign w:val="center"/>
          </w:tcPr>
          <w:p w14:paraId="0B6BE993" w14:textId="325062E3"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0</w:t>
            </w:r>
          </w:p>
        </w:tc>
        <w:tc>
          <w:tcPr>
            <w:tcW w:w="376" w:type="pct"/>
            <w:shd w:val="clear" w:color="auto" w:fill="auto"/>
            <w:vAlign w:val="center"/>
          </w:tcPr>
          <w:p w14:paraId="45EC56F6" w14:textId="1188810C"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0</w:t>
            </w:r>
          </w:p>
        </w:tc>
        <w:tc>
          <w:tcPr>
            <w:tcW w:w="376" w:type="pct"/>
            <w:shd w:val="clear" w:color="auto" w:fill="auto"/>
            <w:vAlign w:val="center"/>
          </w:tcPr>
          <w:p w14:paraId="16D0FBCE" w14:textId="3D64F726"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0</w:t>
            </w:r>
          </w:p>
        </w:tc>
        <w:tc>
          <w:tcPr>
            <w:tcW w:w="374" w:type="pct"/>
            <w:vAlign w:val="center"/>
          </w:tcPr>
          <w:p w14:paraId="18FA0417" w14:textId="3649FB5D" w:rsidR="006861C6" w:rsidRPr="00D2042F"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4</w:t>
            </w:r>
            <w:r>
              <w:rPr>
                <w:rFonts w:ascii="Times New Roman" w:hAnsi="Times New Roman" w:cs="Times New Roman"/>
                <w:sz w:val="22"/>
              </w:rPr>
              <w:t>5</w:t>
            </w:r>
          </w:p>
        </w:tc>
      </w:tr>
      <w:tr w:rsidR="006861C6" w:rsidRPr="00FB0069" w14:paraId="4A2657F0" w14:textId="44204FE7" w:rsidTr="00F41EC6">
        <w:trPr>
          <w:trHeight w:val="422"/>
          <w:jc w:val="center"/>
        </w:trPr>
        <w:tc>
          <w:tcPr>
            <w:tcW w:w="474" w:type="pct"/>
            <w:vAlign w:val="center"/>
          </w:tcPr>
          <w:p w14:paraId="5B5209A1" w14:textId="77777777" w:rsidR="006861C6" w:rsidRPr="008213AD"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153F820A" w14:textId="754845EB" w:rsidR="006861C6" w:rsidRPr="00FB0069" w:rsidRDefault="006861C6" w:rsidP="006861C6">
            <w:pPr>
              <w:ind w:leftChars="-50" w:left="-105" w:rightChars="-50" w:right="-105"/>
              <w:jc w:val="center"/>
              <w:rPr>
                <w:rFonts w:ascii="Times New Roman" w:hAnsi="Times New Roman" w:cs="Times New Roman"/>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78" w:type="pct"/>
            <w:shd w:val="clear" w:color="auto" w:fill="auto"/>
            <w:vAlign w:val="center"/>
          </w:tcPr>
          <w:p w14:paraId="730EE2D6" w14:textId="55707899" w:rsidR="006861C6" w:rsidRPr="00FB0069" w:rsidRDefault="005619D1"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7</w:t>
            </w:r>
            <w:r>
              <w:rPr>
                <w:rFonts w:ascii="Times New Roman" w:hAnsi="Times New Roman" w:cs="Times New Roman"/>
                <w:sz w:val="22"/>
              </w:rPr>
              <w:t>5.0</w:t>
            </w:r>
          </w:p>
        </w:tc>
        <w:tc>
          <w:tcPr>
            <w:tcW w:w="379" w:type="pct"/>
            <w:shd w:val="clear" w:color="auto" w:fill="auto"/>
            <w:vAlign w:val="center"/>
          </w:tcPr>
          <w:p w14:paraId="1D211804" w14:textId="52D0F47D"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8" w:type="pct"/>
            <w:shd w:val="clear" w:color="auto" w:fill="auto"/>
            <w:vAlign w:val="center"/>
          </w:tcPr>
          <w:p w14:paraId="19A31710" w14:textId="4AC7EEBC"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8</w:t>
            </w:r>
            <w:r>
              <w:rPr>
                <w:rFonts w:ascii="Times New Roman" w:hAnsi="Times New Roman" w:cs="Times New Roman"/>
                <w:sz w:val="22"/>
              </w:rPr>
              <w:t>7.5</w:t>
            </w:r>
          </w:p>
        </w:tc>
        <w:tc>
          <w:tcPr>
            <w:tcW w:w="378" w:type="pct"/>
            <w:shd w:val="clear" w:color="auto" w:fill="auto"/>
            <w:vAlign w:val="center"/>
          </w:tcPr>
          <w:p w14:paraId="20B890D7" w14:textId="44D2D9C0"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8" w:type="pct"/>
            <w:shd w:val="clear" w:color="auto" w:fill="auto"/>
            <w:vAlign w:val="center"/>
          </w:tcPr>
          <w:p w14:paraId="63993B48" w14:textId="70ED4F9B"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8" w:type="pct"/>
            <w:shd w:val="clear" w:color="auto" w:fill="auto"/>
            <w:vAlign w:val="center"/>
          </w:tcPr>
          <w:p w14:paraId="08841552" w14:textId="47576F80"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7" w:type="pct"/>
            <w:shd w:val="clear" w:color="auto" w:fill="auto"/>
            <w:vAlign w:val="center"/>
          </w:tcPr>
          <w:p w14:paraId="4E32AE4D" w14:textId="5603DEEA"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8" w:type="pct"/>
            <w:shd w:val="clear" w:color="auto" w:fill="auto"/>
            <w:vAlign w:val="center"/>
          </w:tcPr>
          <w:p w14:paraId="09558CB4" w14:textId="7131C40D"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6" w:type="pct"/>
            <w:shd w:val="clear" w:color="auto" w:fill="auto"/>
            <w:vAlign w:val="center"/>
          </w:tcPr>
          <w:p w14:paraId="320388DE" w14:textId="34E513E9"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w:t>
            </w:r>
          </w:p>
        </w:tc>
        <w:tc>
          <w:tcPr>
            <w:tcW w:w="376" w:type="pct"/>
            <w:shd w:val="clear" w:color="auto" w:fill="auto"/>
            <w:vAlign w:val="center"/>
          </w:tcPr>
          <w:p w14:paraId="4CA67E52" w14:textId="304AEB71"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9</w:t>
            </w:r>
            <w:r>
              <w:rPr>
                <w:rFonts w:ascii="Times New Roman" w:hAnsi="Times New Roman" w:cs="Times New Roman"/>
                <w:sz w:val="22"/>
              </w:rPr>
              <w:t>8.0</w:t>
            </w:r>
          </w:p>
        </w:tc>
        <w:tc>
          <w:tcPr>
            <w:tcW w:w="376" w:type="pct"/>
            <w:shd w:val="clear" w:color="auto" w:fill="auto"/>
            <w:vAlign w:val="center"/>
          </w:tcPr>
          <w:p w14:paraId="2A48E92E" w14:textId="10F45597" w:rsidR="006861C6" w:rsidRPr="00FB0069"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sz w:val="22"/>
              </w:rPr>
              <w:t>/</w:t>
            </w:r>
          </w:p>
        </w:tc>
        <w:tc>
          <w:tcPr>
            <w:tcW w:w="374" w:type="pct"/>
            <w:vAlign w:val="center"/>
          </w:tcPr>
          <w:p w14:paraId="058C723E" w14:textId="64FF3782" w:rsidR="006861C6" w:rsidRPr="00D2042F" w:rsidRDefault="0061278A" w:rsidP="006861C6">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9</w:t>
            </w:r>
            <w:r>
              <w:rPr>
                <w:rFonts w:ascii="Times New Roman" w:hAnsi="Times New Roman" w:cs="Times New Roman"/>
                <w:sz w:val="22"/>
              </w:rPr>
              <w:t>5.1</w:t>
            </w:r>
          </w:p>
        </w:tc>
      </w:tr>
    </w:tbl>
    <w:p w14:paraId="4F0A3CF4" w14:textId="3F74946D" w:rsidR="00252AC9" w:rsidRPr="00F70D6C" w:rsidRDefault="00252AC9" w:rsidP="00252AC9">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存在超标的</w:t>
      </w:r>
      <w:r>
        <w:rPr>
          <w:rFonts w:ascii="Times New Roman" w:eastAsia="仿宋_GB2312" w:hAnsi="Times New Roman" w:cs="Times New Roman" w:hint="eastAsia"/>
          <w:bCs/>
          <w:kern w:val="44"/>
          <w:sz w:val="28"/>
          <w:szCs w:val="28"/>
        </w:rPr>
        <w:t>单位</w:t>
      </w:r>
      <w:r w:rsidRPr="00F70D6C">
        <w:rPr>
          <w:rFonts w:ascii="Times New Roman" w:eastAsia="仿宋_GB2312" w:hAnsi="Times New Roman" w:cs="Times New Roman"/>
          <w:bCs/>
          <w:kern w:val="44"/>
          <w:sz w:val="28"/>
          <w:szCs w:val="28"/>
        </w:rPr>
        <w:t>共</w:t>
      </w:r>
      <w:r w:rsidR="00C3754E">
        <w:rPr>
          <w:rFonts w:ascii="Times New Roman" w:eastAsia="仿宋_GB2312" w:hAnsi="Times New Roman" w:cs="Times New Roman"/>
          <w:bCs/>
          <w:kern w:val="44"/>
          <w:sz w:val="28"/>
          <w:szCs w:val="28"/>
        </w:rPr>
        <w:t>3</w:t>
      </w:r>
      <w:r w:rsidRPr="00F70D6C">
        <w:rPr>
          <w:rFonts w:ascii="Times New Roman" w:eastAsia="仿宋_GB2312" w:hAnsi="Times New Roman" w:cs="Times New Roman"/>
          <w:bCs/>
          <w:kern w:val="44"/>
          <w:sz w:val="28"/>
          <w:szCs w:val="28"/>
        </w:rPr>
        <w:t>家，</w:t>
      </w:r>
      <w:r w:rsidR="00C3754E">
        <w:rPr>
          <w:rFonts w:ascii="Times New Roman" w:eastAsia="仿宋_GB2312" w:hAnsi="Times New Roman" w:cs="Times New Roman" w:hint="eastAsia"/>
          <w:bCs/>
          <w:kern w:val="44"/>
          <w:sz w:val="28"/>
          <w:szCs w:val="28"/>
        </w:rPr>
        <w:t>分别位于杭州、温州和台州</w:t>
      </w:r>
      <w:r w:rsidRPr="00F70D6C">
        <w:rPr>
          <w:rFonts w:ascii="Times New Roman" w:eastAsia="仿宋_GB2312" w:hAnsi="Times New Roman" w:cs="Times New Roman" w:hint="eastAsia"/>
          <w:bCs/>
          <w:kern w:val="44"/>
          <w:sz w:val="28"/>
          <w:szCs w:val="28"/>
        </w:rPr>
        <w:t>，超标行业</w:t>
      </w:r>
      <w:r w:rsidR="00C3754E">
        <w:rPr>
          <w:rFonts w:ascii="Times New Roman" w:eastAsia="仿宋_GB2312" w:hAnsi="Times New Roman" w:cs="Times New Roman" w:hint="eastAsia"/>
          <w:bCs/>
          <w:kern w:val="44"/>
          <w:sz w:val="28"/>
          <w:szCs w:val="28"/>
        </w:rPr>
        <w:t>均</w:t>
      </w:r>
      <w:r w:rsidRPr="00F70D6C">
        <w:rPr>
          <w:rFonts w:ascii="Times New Roman" w:eastAsia="仿宋_GB2312" w:hAnsi="Times New Roman" w:cs="Times New Roman" w:hint="eastAsia"/>
          <w:bCs/>
          <w:kern w:val="44"/>
          <w:sz w:val="28"/>
          <w:szCs w:val="28"/>
        </w:rPr>
        <w:t>为</w:t>
      </w:r>
      <w:r w:rsidR="00C3754E" w:rsidRPr="00C3754E">
        <w:rPr>
          <w:rFonts w:ascii="Times New Roman" w:eastAsia="仿宋_GB2312" w:hAnsi="Times New Roman" w:cs="Times New Roman" w:hint="eastAsia"/>
          <w:bCs/>
          <w:kern w:val="44"/>
          <w:sz w:val="28"/>
          <w:szCs w:val="28"/>
        </w:rPr>
        <w:t>电力、热力生产和供应业</w:t>
      </w:r>
      <w:r w:rsidRPr="00F70D6C">
        <w:rPr>
          <w:rFonts w:ascii="Times New Roman" w:eastAsia="仿宋_GB2312" w:hAnsi="Times New Roman" w:cs="Times New Roman" w:hint="eastAsia"/>
          <w:bCs/>
          <w:kern w:val="44"/>
          <w:sz w:val="28"/>
          <w:szCs w:val="28"/>
        </w:rPr>
        <w:t>，超标指标为</w:t>
      </w:r>
      <w:r w:rsidR="008313DE">
        <w:rPr>
          <w:rFonts w:ascii="Times New Roman" w:eastAsia="仿宋_GB2312" w:hAnsi="Times New Roman" w:cs="Times New Roman" w:hint="eastAsia"/>
          <w:bCs/>
          <w:kern w:val="44"/>
          <w:sz w:val="28"/>
          <w:szCs w:val="28"/>
        </w:rPr>
        <w:t>总余氯和总氮</w:t>
      </w:r>
      <w:r w:rsidRPr="00F70D6C">
        <w:rPr>
          <w:rFonts w:ascii="Times New Roman" w:eastAsia="仿宋_GB2312" w:hAnsi="Times New Roman" w:cs="Times New Roman" w:hint="eastAsia"/>
          <w:bCs/>
          <w:kern w:val="44"/>
          <w:sz w:val="28"/>
          <w:szCs w:val="28"/>
        </w:rPr>
        <w:t>。</w:t>
      </w:r>
    </w:p>
    <w:p w14:paraId="70B5C5EC" w14:textId="52E0596F" w:rsidR="00856303" w:rsidRPr="00F70D6C" w:rsidRDefault="006A7CB9"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hint="eastAsia"/>
          <w:bCs/>
          <w:kern w:val="44"/>
          <w:sz w:val="28"/>
          <w:szCs w:val="28"/>
        </w:rPr>
        <w:t>2</w:t>
      </w:r>
      <w:r w:rsidR="00F70D6C">
        <w:rPr>
          <w:rFonts w:ascii="Times New Roman" w:eastAsia="仿宋_GB2312" w:hAnsi="Times New Roman" w:cs="Times New Roman" w:hint="eastAsia"/>
          <w:bCs/>
          <w:kern w:val="44"/>
          <w:sz w:val="28"/>
          <w:szCs w:val="28"/>
        </w:rPr>
        <w:t>.</w:t>
      </w:r>
      <w:r w:rsidR="00856303" w:rsidRPr="00F70D6C">
        <w:rPr>
          <w:rFonts w:ascii="Times New Roman" w:eastAsia="仿宋_GB2312" w:hAnsi="Times New Roman" w:cs="Times New Roman"/>
          <w:bCs/>
          <w:kern w:val="44"/>
          <w:sz w:val="28"/>
          <w:szCs w:val="28"/>
        </w:rPr>
        <w:t>废气监测情况</w:t>
      </w:r>
    </w:p>
    <w:p w14:paraId="71782B20" w14:textId="1247571C" w:rsidR="00376B52" w:rsidRPr="00F70D6C" w:rsidRDefault="005A11B4"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全省</w:t>
      </w:r>
      <w:r w:rsidR="00167607" w:rsidRPr="00F70D6C">
        <w:rPr>
          <w:rFonts w:ascii="Times New Roman" w:eastAsia="仿宋_GB2312" w:hAnsi="Times New Roman" w:cs="Times New Roman"/>
          <w:bCs/>
          <w:kern w:val="44"/>
          <w:sz w:val="28"/>
          <w:szCs w:val="28"/>
        </w:rPr>
        <w:t>1</w:t>
      </w:r>
      <w:r w:rsidR="00A839E0" w:rsidRPr="00F70D6C">
        <w:rPr>
          <w:rFonts w:ascii="Times New Roman" w:eastAsia="仿宋_GB2312" w:hAnsi="Times New Roman" w:cs="Times New Roman"/>
          <w:bCs/>
          <w:kern w:val="44"/>
          <w:sz w:val="28"/>
          <w:szCs w:val="28"/>
        </w:rPr>
        <w:t>1</w:t>
      </w:r>
      <w:r w:rsidRPr="00F70D6C">
        <w:rPr>
          <w:rFonts w:ascii="Times New Roman" w:eastAsia="仿宋_GB2312" w:hAnsi="Times New Roman" w:cs="Times New Roman"/>
          <w:bCs/>
          <w:kern w:val="44"/>
          <w:sz w:val="28"/>
          <w:szCs w:val="28"/>
        </w:rPr>
        <w:t>个</w:t>
      </w:r>
      <w:r w:rsidRPr="00F70D6C">
        <w:rPr>
          <w:rFonts w:ascii="Times New Roman" w:eastAsia="仿宋_GB2312" w:hAnsi="Times New Roman" w:cs="Times New Roman" w:hint="eastAsia"/>
          <w:bCs/>
          <w:kern w:val="44"/>
          <w:sz w:val="28"/>
          <w:szCs w:val="28"/>
        </w:rPr>
        <w:t>设区</w:t>
      </w:r>
      <w:r w:rsidR="00856303" w:rsidRPr="00F70D6C">
        <w:rPr>
          <w:rFonts w:ascii="Times New Roman" w:eastAsia="仿宋_GB2312" w:hAnsi="Times New Roman" w:cs="Times New Roman"/>
          <w:bCs/>
          <w:kern w:val="44"/>
          <w:sz w:val="28"/>
          <w:szCs w:val="28"/>
        </w:rPr>
        <w:t>市</w:t>
      </w:r>
      <w:r w:rsidRPr="00F70D6C">
        <w:rPr>
          <w:rFonts w:ascii="Times New Roman" w:eastAsia="仿宋_GB2312" w:hAnsi="Times New Roman" w:cs="Times New Roman" w:hint="eastAsia"/>
          <w:bCs/>
          <w:kern w:val="44"/>
          <w:sz w:val="28"/>
          <w:szCs w:val="28"/>
        </w:rPr>
        <w:t>均</w:t>
      </w:r>
      <w:r w:rsidR="00856303" w:rsidRPr="00F70D6C">
        <w:rPr>
          <w:rFonts w:ascii="Times New Roman" w:eastAsia="仿宋_GB2312" w:hAnsi="Times New Roman" w:cs="Times New Roman"/>
          <w:bCs/>
          <w:kern w:val="44"/>
          <w:sz w:val="28"/>
          <w:szCs w:val="28"/>
        </w:rPr>
        <w:t>开展了</w:t>
      </w:r>
      <w:r w:rsidR="00D173FC" w:rsidRPr="00F70D6C">
        <w:rPr>
          <w:rFonts w:ascii="Times New Roman" w:eastAsia="仿宋_GB2312" w:hAnsi="Times New Roman" w:cs="Times New Roman"/>
          <w:bCs/>
          <w:kern w:val="44"/>
          <w:sz w:val="28"/>
          <w:szCs w:val="28"/>
        </w:rPr>
        <w:t>生活垃圾焚烧厂</w:t>
      </w:r>
      <w:r w:rsidR="00856303" w:rsidRPr="00F70D6C">
        <w:rPr>
          <w:rFonts w:ascii="Times New Roman" w:eastAsia="仿宋_GB2312" w:hAnsi="Times New Roman" w:cs="Times New Roman"/>
          <w:bCs/>
          <w:kern w:val="44"/>
          <w:sz w:val="28"/>
          <w:szCs w:val="28"/>
        </w:rPr>
        <w:t>废气排放监测，</w:t>
      </w:r>
      <w:r w:rsidR="00FA24F3">
        <w:rPr>
          <w:rFonts w:ascii="Times New Roman" w:eastAsia="仿宋_GB2312" w:hAnsi="Times New Roman" w:cs="Times New Roman" w:hint="eastAsia"/>
          <w:bCs/>
          <w:kern w:val="44"/>
          <w:sz w:val="28"/>
          <w:szCs w:val="28"/>
        </w:rPr>
        <w:t>排污单位</w:t>
      </w:r>
      <w:r w:rsidR="00856303" w:rsidRPr="00F70D6C">
        <w:rPr>
          <w:rFonts w:ascii="Times New Roman" w:eastAsia="仿宋_GB2312" w:hAnsi="Times New Roman" w:cs="Times New Roman"/>
          <w:bCs/>
          <w:kern w:val="44"/>
          <w:sz w:val="28"/>
          <w:szCs w:val="28"/>
        </w:rPr>
        <w:t>数为</w:t>
      </w:r>
      <w:r w:rsidR="002B5646">
        <w:rPr>
          <w:rFonts w:ascii="Times New Roman" w:eastAsia="仿宋_GB2312" w:hAnsi="Times New Roman" w:cs="Times New Roman"/>
          <w:bCs/>
          <w:kern w:val="44"/>
          <w:sz w:val="28"/>
          <w:szCs w:val="28"/>
        </w:rPr>
        <w:t>84</w:t>
      </w:r>
      <w:r w:rsidR="00856303" w:rsidRPr="00F70D6C">
        <w:rPr>
          <w:rFonts w:ascii="Times New Roman" w:eastAsia="仿宋_GB2312" w:hAnsi="Times New Roman" w:cs="Times New Roman"/>
          <w:bCs/>
          <w:kern w:val="44"/>
          <w:sz w:val="28"/>
          <w:szCs w:val="28"/>
        </w:rPr>
        <w:t>家，达标率为</w:t>
      </w:r>
      <w:r w:rsidR="002B5646">
        <w:rPr>
          <w:rFonts w:ascii="Times New Roman" w:eastAsia="仿宋_GB2312" w:hAnsi="Times New Roman" w:cs="Times New Roman"/>
          <w:bCs/>
          <w:kern w:val="44"/>
          <w:sz w:val="28"/>
          <w:szCs w:val="28"/>
        </w:rPr>
        <w:t>98.6</w:t>
      </w:r>
      <w:r w:rsidR="00856303" w:rsidRPr="00F70D6C">
        <w:rPr>
          <w:rFonts w:ascii="Times New Roman" w:eastAsia="仿宋_GB2312" w:hAnsi="Times New Roman" w:cs="Times New Roman"/>
          <w:bCs/>
          <w:kern w:val="44"/>
          <w:sz w:val="28"/>
          <w:szCs w:val="28"/>
        </w:rPr>
        <w:t>%</w:t>
      </w:r>
      <w:r w:rsidR="002B5646">
        <w:rPr>
          <w:rFonts w:ascii="Times New Roman" w:eastAsia="仿宋_GB2312" w:hAnsi="Times New Roman" w:cs="Times New Roman" w:hint="eastAsia"/>
          <w:bCs/>
          <w:kern w:val="44"/>
          <w:sz w:val="28"/>
          <w:szCs w:val="28"/>
        </w:rPr>
        <w:t>，较上年下降</w:t>
      </w:r>
      <w:r w:rsidR="002B5646">
        <w:rPr>
          <w:rFonts w:ascii="Times New Roman" w:eastAsia="仿宋_GB2312" w:hAnsi="Times New Roman" w:cs="Times New Roman"/>
          <w:bCs/>
          <w:kern w:val="44"/>
          <w:sz w:val="28"/>
          <w:szCs w:val="28"/>
        </w:rPr>
        <w:t>1</w:t>
      </w:r>
      <w:r w:rsidR="00376B52" w:rsidRPr="00F70D6C">
        <w:rPr>
          <w:rFonts w:ascii="Times New Roman" w:eastAsia="仿宋_GB2312" w:hAnsi="Times New Roman" w:cs="Times New Roman"/>
          <w:bCs/>
          <w:kern w:val="44"/>
          <w:sz w:val="28"/>
          <w:szCs w:val="28"/>
        </w:rPr>
        <w:t>.2</w:t>
      </w:r>
      <w:r w:rsidR="00376B52" w:rsidRPr="00F70D6C">
        <w:rPr>
          <w:rFonts w:ascii="Times New Roman" w:eastAsia="仿宋_GB2312" w:hAnsi="Times New Roman" w:cs="Times New Roman" w:hint="eastAsia"/>
          <w:bCs/>
          <w:kern w:val="44"/>
          <w:sz w:val="28"/>
          <w:szCs w:val="28"/>
        </w:rPr>
        <w:t>个百分点</w:t>
      </w:r>
      <w:r w:rsidR="00FE68D9" w:rsidRPr="00F70D6C">
        <w:rPr>
          <w:rFonts w:ascii="Times New Roman" w:eastAsia="仿宋_GB2312" w:hAnsi="Times New Roman" w:cs="Times New Roman"/>
          <w:bCs/>
          <w:kern w:val="44"/>
          <w:sz w:val="28"/>
          <w:szCs w:val="28"/>
        </w:rPr>
        <w:t>。</w:t>
      </w:r>
      <w:r w:rsidR="00376B52" w:rsidRPr="00F70D6C">
        <w:rPr>
          <w:rFonts w:ascii="Times New Roman" w:eastAsia="仿宋_GB2312" w:hAnsi="Times New Roman" w:cs="Times New Roman"/>
          <w:bCs/>
          <w:kern w:val="44"/>
          <w:sz w:val="28"/>
          <w:szCs w:val="28"/>
        </w:rPr>
        <w:t>各设区市达标率</w:t>
      </w:r>
      <w:r w:rsidR="00376B52" w:rsidRPr="00F70D6C">
        <w:rPr>
          <w:rFonts w:ascii="Times New Roman" w:eastAsia="仿宋_GB2312" w:hAnsi="Times New Roman" w:cs="Times New Roman" w:hint="eastAsia"/>
          <w:bCs/>
          <w:kern w:val="44"/>
          <w:sz w:val="28"/>
          <w:szCs w:val="28"/>
        </w:rPr>
        <w:t>范围为</w:t>
      </w:r>
      <w:r w:rsidR="009172D6">
        <w:rPr>
          <w:rFonts w:ascii="Times New Roman" w:eastAsia="仿宋_GB2312" w:hAnsi="Times New Roman" w:cs="Times New Roman"/>
          <w:bCs/>
          <w:kern w:val="44"/>
          <w:sz w:val="28"/>
          <w:szCs w:val="28"/>
        </w:rPr>
        <w:t>90.0</w:t>
      </w:r>
      <w:r w:rsidR="00376B52" w:rsidRPr="00F70D6C">
        <w:rPr>
          <w:rFonts w:ascii="Times New Roman" w:eastAsia="仿宋_GB2312" w:hAnsi="Times New Roman" w:cs="Times New Roman"/>
          <w:bCs/>
          <w:kern w:val="44"/>
          <w:sz w:val="28"/>
          <w:szCs w:val="28"/>
        </w:rPr>
        <w:t>%-100%</w:t>
      </w:r>
      <w:r w:rsidR="000709AF">
        <w:rPr>
          <w:rFonts w:ascii="Times New Roman" w:eastAsia="仿宋_GB2312" w:hAnsi="Times New Roman" w:cs="Times New Roman" w:hint="eastAsia"/>
          <w:bCs/>
          <w:kern w:val="44"/>
          <w:sz w:val="28"/>
          <w:szCs w:val="28"/>
        </w:rPr>
        <w:t>。</w:t>
      </w:r>
      <w:r w:rsidR="00376B52" w:rsidRPr="00F70D6C">
        <w:rPr>
          <w:rFonts w:ascii="Times New Roman" w:eastAsia="仿宋_GB2312" w:hAnsi="Times New Roman" w:cs="Times New Roman" w:hint="eastAsia"/>
          <w:bCs/>
          <w:kern w:val="44"/>
          <w:sz w:val="28"/>
          <w:szCs w:val="28"/>
        </w:rPr>
        <w:t>除</w:t>
      </w:r>
      <w:r w:rsidR="009172D6">
        <w:rPr>
          <w:rFonts w:ascii="Times New Roman" w:eastAsia="仿宋_GB2312" w:hAnsi="Times New Roman" w:cs="Times New Roman" w:hint="eastAsia"/>
          <w:bCs/>
          <w:kern w:val="44"/>
          <w:sz w:val="28"/>
          <w:szCs w:val="28"/>
        </w:rPr>
        <w:t>台州</w:t>
      </w:r>
      <w:r w:rsidR="00376B52" w:rsidRPr="00F70D6C">
        <w:rPr>
          <w:rFonts w:ascii="Times New Roman" w:eastAsia="仿宋_GB2312" w:hAnsi="Times New Roman" w:cs="Times New Roman" w:hint="eastAsia"/>
          <w:bCs/>
          <w:kern w:val="44"/>
          <w:sz w:val="28"/>
          <w:szCs w:val="28"/>
        </w:rPr>
        <w:t>外，其余</w:t>
      </w:r>
      <w:r w:rsidR="008F2F85">
        <w:rPr>
          <w:rFonts w:ascii="Times New Roman" w:eastAsia="仿宋_GB2312" w:hAnsi="Times New Roman" w:cs="Times New Roman" w:hint="eastAsia"/>
          <w:bCs/>
          <w:kern w:val="44"/>
          <w:sz w:val="28"/>
          <w:szCs w:val="28"/>
        </w:rPr>
        <w:t>各市</w:t>
      </w:r>
      <w:r w:rsidR="00376B52" w:rsidRPr="00F70D6C">
        <w:rPr>
          <w:rFonts w:ascii="Times New Roman" w:eastAsia="仿宋_GB2312" w:hAnsi="Times New Roman" w:cs="Times New Roman" w:hint="eastAsia"/>
          <w:bCs/>
          <w:kern w:val="44"/>
          <w:sz w:val="28"/>
          <w:szCs w:val="28"/>
        </w:rPr>
        <w:t>均未出现超标现象</w:t>
      </w:r>
      <w:r w:rsidR="00376B52" w:rsidRPr="00F70D6C">
        <w:rPr>
          <w:rFonts w:ascii="Times New Roman" w:eastAsia="仿宋_GB2312" w:hAnsi="Times New Roman" w:cs="Times New Roman"/>
          <w:bCs/>
          <w:kern w:val="44"/>
          <w:sz w:val="28"/>
          <w:szCs w:val="28"/>
        </w:rPr>
        <w:t>。</w:t>
      </w:r>
    </w:p>
    <w:p w14:paraId="54ED280A" w14:textId="1CB5D16C" w:rsidR="00856303" w:rsidRPr="00E95B6F" w:rsidRDefault="00856303" w:rsidP="00630A51">
      <w:pPr>
        <w:spacing w:line="56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F7D2F" w:rsidRPr="00E95B6F">
        <w:rPr>
          <w:rFonts w:ascii="Times New Roman" w:eastAsia="仿宋_GB2312" w:hAnsi="Times New Roman" w:cs="Times New Roman"/>
          <w:b/>
          <w:sz w:val="24"/>
          <w:szCs w:val="24"/>
        </w:rPr>
        <w:t>1</w:t>
      </w:r>
      <w:r w:rsidR="008E2F43">
        <w:rPr>
          <w:rFonts w:ascii="Times New Roman" w:eastAsia="仿宋_GB2312" w:hAnsi="Times New Roman" w:cs="Times New Roman"/>
          <w:b/>
          <w:sz w:val="24"/>
          <w:szCs w:val="24"/>
        </w:rPr>
        <w:t>1</w:t>
      </w:r>
      <w:r w:rsidRPr="00E95B6F">
        <w:rPr>
          <w:rFonts w:ascii="Times New Roman" w:eastAsia="仿宋_GB2312" w:hAnsi="Times New Roman" w:cs="Times New Roman"/>
          <w:b/>
          <w:sz w:val="24"/>
          <w:szCs w:val="24"/>
        </w:rPr>
        <w:t xml:space="preserve">   </w:t>
      </w:r>
      <w:r w:rsidR="00376B52">
        <w:rPr>
          <w:rFonts w:ascii="Times New Roman" w:eastAsia="仿宋_GB2312" w:hAnsi="Times New Roman" w:cs="Times New Roman"/>
          <w:b/>
          <w:sz w:val="24"/>
          <w:szCs w:val="24"/>
        </w:rPr>
        <w:t xml:space="preserve"> </w:t>
      </w:r>
      <w:r w:rsidR="00AC4945" w:rsidRPr="00E95B6F">
        <w:rPr>
          <w:rFonts w:ascii="Times New Roman" w:eastAsia="仿宋_GB2312" w:hAnsi="Times New Roman" w:cs="Times New Roman"/>
          <w:b/>
          <w:sz w:val="24"/>
          <w:szCs w:val="24"/>
        </w:rPr>
        <w:t>生活垃圾焚烧厂</w:t>
      </w:r>
      <w:r w:rsidR="00004C7D">
        <w:rPr>
          <w:rFonts w:ascii="Times New Roman" w:eastAsia="仿宋_GB2312" w:hAnsi="Times New Roman" w:cs="Times New Roman"/>
          <w:b/>
          <w:sz w:val="24"/>
          <w:szCs w:val="24"/>
        </w:rPr>
        <w:t>废气</w:t>
      </w:r>
      <w:r w:rsidR="000A1DC8">
        <w:rPr>
          <w:rFonts w:ascii="Times New Roman" w:eastAsia="仿宋_GB2312" w:hAnsi="Times New Roman" w:cs="Times New Roman" w:hint="eastAsia"/>
          <w:b/>
          <w:sz w:val="24"/>
          <w:szCs w:val="24"/>
        </w:rPr>
        <w:t>分区域</w:t>
      </w:r>
      <w:r w:rsidR="00004C7D">
        <w:rPr>
          <w:rFonts w:ascii="Times New Roman" w:eastAsia="仿宋_GB2312" w:hAnsi="Times New Roman" w:cs="Times New Roman"/>
          <w:b/>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628"/>
        <w:gridCol w:w="631"/>
        <w:gridCol w:w="628"/>
        <w:gridCol w:w="631"/>
        <w:gridCol w:w="631"/>
        <w:gridCol w:w="627"/>
        <w:gridCol w:w="630"/>
        <w:gridCol w:w="630"/>
        <w:gridCol w:w="627"/>
        <w:gridCol w:w="630"/>
        <w:gridCol w:w="611"/>
        <w:gridCol w:w="606"/>
      </w:tblGrid>
      <w:tr w:rsidR="00D2042F" w:rsidRPr="0008129B" w14:paraId="2745B067" w14:textId="60748B89" w:rsidTr="00384238">
        <w:trPr>
          <w:trHeight w:val="567"/>
          <w:jc w:val="center"/>
        </w:trPr>
        <w:tc>
          <w:tcPr>
            <w:tcW w:w="473" w:type="pct"/>
            <w:vAlign w:val="center"/>
          </w:tcPr>
          <w:p w14:paraId="3F601495" w14:textId="5CE3F184"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设区市</w:t>
            </w:r>
          </w:p>
        </w:tc>
        <w:tc>
          <w:tcPr>
            <w:tcW w:w="378" w:type="pct"/>
            <w:shd w:val="clear" w:color="auto" w:fill="auto"/>
            <w:vAlign w:val="center"/>
          </w:tcPr>
          <w:p w14:paraId="62F4356F"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杭州</w:t>
            </w:r>
          </w:p>
        </w:tc>
        <w:tc>
          <w:tcPr>
            <w:tcW w:w="380" w:type="pct"/>
            <w:shd w:val="clear" w:color="auto" w:fill="auto"/>
            <w:vAlign w:val="center"/>
          </w:tcPr>
          <w:p w14:paraId="4DB2DAD6"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宁波</w:t>
            </w:r>
          </w:p>
        </w:tc>
        <w:tc>
          <w:tcPr>
            <w:tcW w:w="378" w:type="pct"/>
            <w:shd w:val="clear" w:color="auto" w:fill="auto"/>
            <w:vAlign w:val="center"/>
          </w:tcPr>
          <w:p w14:paraId="618212B7"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温州</w:t>
            </w:r>
          </w:p>
        </w:tc>
        <w:tc>
          <w:tcPr>
            <w:tcW w:w="380" w:type="pct"/>
            <w:shd w:val="clear" w:color="auto" w:fill="auto"/>
            <w:vAlign w:val="center"/>
          </w:tcPr>
          <w:p w14:paraId="5614E18D" w14:textId="068715D4"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湖州</w:t>
            </w:r>
          </w:p>
        </w:tc>
        <w:tc>
          <w:tcPr>
            <w:tcW w:w="380" w:type="pct"/>
            <w:shd w:val="clear" w:color="auto" w:fill="auto"/>
            <w:vAlign w:val="center"/>
          </w:tcPr>
          <w:p w14:paraId="7A1DCDB6" w14:textId="075D2449"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嘉兴</w:t>
            </w:r>
          </w:p>
        </w:tc>
        <w:tc>
          <w:tcPr>
            <w:tcW w:w="378" w:type="pct"/>
            <w:shd w:val="clear" w:color="auto" w:fill="auto"/>
            <w:vAlign w:val="center"/>
          </w:tcPr>
          <w:p w14:paraId="6469CA1B"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绍兴</w:t>
            </w:r>
          </w:p>
        </w:tc>
        <w:tc>
          <w:tcPr>
            <w:tcW w:w="380" w:type="pct"/>
            <w:shd w:val="clear" w:color="auto" w:fill="auto"/>
            <w:vAlign w:val="center"/>
          </w:tcPr>
          <w:p w14:paraId="497B6BEA"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金华</w:t>
            </w:r>
          </w:p>
        </w:tc>
        <w:tc>
          <w:tcPr>
            <w:tcW w:w="380" w:type="pct"/>
            <w:shd w:val="clear" w:color="auto" w:fill="auto"/>
            <w:vAlign w:val="center"/>
          </w:tcPr>
          <w:p w14:paraId="1EE7BE63"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衢州</w:t>
            </w:r>
          </w:p>
        </w:tc>
        <w:tc>
          <w:tcPr>
            <w:tcW w:w="378" w:type="pct"/>
            <w:shd w:val="clear" w:color="auto" w:fill="auto"/>
            <w:vAlign w:val="center"/>
          </w:tcPr>
          <w:p w14:paraId="3B7F8F4B"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舟山</w:t>
            </w:r>
          </w:p>
        </w:tc>
        <w:tc>
          <w:tcPr>
            <w:tcW w:w="380" w:type="pct"/>
            <w:shd w:val="clear" w:color="auto" w:fill="auto"/>
            <w:vAlign w:val="center"/>
          </w:tcPr>
          <w:p w14:paraId="27A8F3FC"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台州</w:t>
            </w:r>
          </w:p>
        </w:tc>
        <w:tc>
          <w:tcPr>
            <w:tcW w:w="368" w:type="pct"/>
            <w:shd w:val="clear" w:color="auto" w:fill="auto"/>
            <w:vAlign w:val="center"/>
          </w:tcPr>
          <w:p w14:paraId="17A4C5D1"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丽水</w:t>
            </w:r>
          </w:p>
        </w:tc>
        <w:tc>
          <w:tcPr>
            <w:tcW w:w="365" w:type="pct"/>
            <w:vAlign w:val="center"/>
          </w:tcPr>
          <w:p w14:paraId="7219E267" w14:textId="1D58ABEB" w:rsidR="00D2042F" w:rsidRPr="00D2042F"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D2042F">
              <w:rPr>
                <w:rFonts w:ascii="Times New Roman" w:eastAsia="仿宋_GB2312" w:hAnsi="Times New Roman" w:cs="Times New Roman"/>
                <w:bCs/>
                <w:kern w:val="44"/>
                <w:sz w:val="22"/>
              </w:rPr>
              <w:t>全省</w:t>
            </w:r>
          </w:p>
        </w:tc>
      </w:tr>
      <w:tr w:rsidR="00D2042F" w:rsidRPr="0008129B" w14:paraId="18182789" w14:textId="660F8F3D" w:rsidTr="00384238">
        <w:trPr>
          <w:trHeight w:val="321"/>
          <w:jc w:val="center"/>
        </w:trPr>
        <w:tc>
          <w:tcPr>
            <w:tcW w:w="473" w:type="pct"/>
            <w:vAlign w:val="center"/>
          </w:tcPr>
          <w:p w14:paraId="2FB537EF"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4B2EBC09" w14:textId="562FA3A4"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（家）</w:t>
            </w:r>
          </w:p>
        </w:tc>
        <w:tc>
          <w:tcPr>
            <w:tcW w:w="378" w:type="pct"/>
            <w:shd w:val="clear" w:color="auto" w:fill="auto"/>
            <w:vAlign w:val="center"/>
          </w:tcPr>
          <w:p w14:paraId="540B76D4" w14:textId="51513686" w:rsidR="00D2042F" w:rsidRPr="0008129B" w:rsidRDefault="009922E1"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9</w:t>
            </w:r>
          </w:p>
        </w:tc>
        <w:tc>
          <w:tcPr>
            <w:tcW w:w="380" w:type="pct"/>
            <w:shd w:val="clear" w:color="auto" w:fill="auto"/>
            <w:vAlign w:val="center"/>
          </w:tcPr>
          <w:p w14:paraId="56DA86E5" w14:textId="3C5E3BAA" w:rsidR="00D2042F" w:rsidRPr="0008129B" w:rsidRDefault="009922E1"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8</w:t>
            </w:r>
          </w:p>
        </w:tc>
        <w:tc>
          <w:tcPr>
            <w:tcW w:w="378" w:type="pct"/>
            <w:shd w:val="clear" w:color="auto" w:fill="auto"/>
            <w:vAlign w:val="center"/>
          </w:tcPr>
          <w:p w14:paraId="1875DDE7" w14:textId="6916A174" w:rsidR="00D2042F" w:rsidRPr="0008129B" w:rsidRDefault="009922E1"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7</w:t>
            </w:r>
          </w:p>
        </w:tc>
        <w:tc>
          <w:tcPr>
            <w:tcW w:w="380" w:type="pct"/>
            <w:shd w:val="clear" w:color="auto" w:fill="auto"/>
            <w:vAlign w:val="center"/>
          </w:tcPr>
          <w:p w14:paraId="7CCEB12B" w14:textId="4CF138CE" w:rsidR="00D2042F" w:rsidRPr="0008129B" w:rsidRDefault="009922E1"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4</w:t>
            </w:r>
          </w:p>
        </w:tc>
        <w:tc>
          <w:tcPr>
            <w:tcW w:w="380" w:type="pct"/>
            <w:shd w:val="clear" w:color="auto" w:fill="auto"/>
            <w:vAlign w:val="center"/>
          </w:tcPr>
          <w:p w14:paraId="206FBF0D" w14:textId="255CE2BB" w:rsidR="00D2042F" w:rsidRPr="0008129B" w:rsidRDefault="009922E1"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6</w:t>
            </w:r>
          </w:p>
        </w:tc>
        <w:tc>
          <w:tcPr>
            <w:tcW w:w="378" w:type="pct"/>
            <w:shd w:val="clear" w:color="auto" w:fill="auto"/>
            <w:vAlign w:val="center"/>
          </w:tcPr>
          <w:p w14:paraId="7A011615" w14:textId="05DB08CC" w:rsidR="00D2042F" w:rsidRPr="0008129B" w:rsidRDefault="009922E1"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w:t>
            </w:r>
          </w:p>
        </w:tc>
        <w:tc>
          <w:tcPr>
            <w:tcW w:w="380" w:type="pct"/>
            <w:shd w:val="clear" w:color="auto" w:fill="auto"/>
            <w:vAlign w:val="center"/>
          </w:tcPr>
          <w:p w14:paraId="16B924F5" w14:textId="3999F01D" w:rsidR="00D2042F" w:rsidRPr="0008129B" w:rsidRDefault="002B5646"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8</w:t>
            </w:r>
          </w:p>
        </w:tc>
        <w:tc>
          <w:tcPr>
            <w:tcW w:w="380" w:type="pct"/>
            <w:shd w:val="clear" w:color="auto" w:fill="auto"/>
            <w:vAlign w:val="center"/>
          </w:tcPr>
          <w:p w14:paraId="57CB9242" w14:textId="61721CCC" w:rsidR="00D2042F" w:rsidRPr="0008129B" w:rsidRDefault="002B5646"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4</w:t>
            </w:r>
          </w:p>
        </w:tc>
        <w:tc>
          <w:tcPr>
            <w:tcW w:w="378" w:type="pct"/>
            <w:shd w:val="clear" w:color="auto" w:fill="auto"/>
            <w:vAlign w:val="center"/>
          </w:tcPr>
          <w:p w14:paraId="37B6E437" w14:textId="3B5A45A7" w:rsidR="00D2042F" w:rsidRPr="0008129B" w:rsidRDefault="002B5646" w:rsidP="00D2042F">
            <w:pPr>
              <w:ind w:leftChars="-50" w:left="-105" w:rightChars="-50" w:right="-105"/>
              <w:jc w:val="center"/>
              <w:rPr>
                <w:rFonts w:ascii="Times New Roman" w:hAnsi="Times New Roman" w:cs="Times New Roman"/>
                <w:sz w:val="22"/>
              </w:rPr>
            </w:pPr>
            <w:r>
              <w:rPr>
                <w:rFonts w:ascii="Times New Roman" w:hAnsi="Times New Roman" w:cs="Times New Roman"/>
                <w:sz w:val="22"/>
              </w:rPr>
              <w:t>1</w:t>
            </w:r>
          </w:p>
        </w:tc>
        <w:tc>
          <w:tcPr>
            <w:tcW w:w="380" w:type="pct"/>
            <w:shd w:val="clear" w:color="auto" w:fill="auto"/>
            <w:vAlign w:val="center"/>
          </w:tcPr>
          <w:p w14:paraId="7E5DDD94" w14:textId="32D06DFE" w:rsidR="00D2042F" w:rsidRPr="0008129B" w:rsidRDefault="002B5646"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2</w:t>
            </w:r>
          </w:p>
        </w:tc>
        <w:tc>
          <w:tcPr>
            <w:tcW w:w="368" w:type="pct"/>
            <w:shd w:val="clear" w:color="auto" w:fill="auto"/>
            <w:vAlign w:val="center"/>
          </w:tcPr>
          <w:p w14:paraId="720A8188" w14:textId="1D133792" w:rsidR="00D2042F" w:rsidRPr="0008129B" w:rsidRDefault="002B5646"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5</w:t>
            </w:r>
          </w:p>
        </w:tc>
        <w:tc>
          <w:tcPr>
            <w:tcW w:w="365" w:type="pct"/>
            <w:vAlign w:val="center"/>
          </w:tcPr>
          <w:p w14:paraId="7DF700E1" w14:textId="4A375973" w:rsidR="00D2042F" w:rsidRPr="00D2042F" w:rsidRDefault="002B5646"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8</w:t>
            </w:r>
            <w:r>
              <w:rPr>
                <w:rFonts w:ascii="Times New Roman" w:hAnsi="Times New Roman" w:cs="Times New Roman"/>
                <w:sz w:val="22"/>
              </w:rPr>
              <w:t>4</w:t>
            </w:r>
          </w:p>
        </w:tc>
      </w:tr>
      <w:tr w:rsidR="00D2042F" w:rsidRPr="0008129B" w14:paraId="2B4B4FCA" w14:textId="07E9C342" w:rsidTr="00384238">
        <w:trPr>
          <w:trHeight w:val="422"/>
          <w:jc w:val="center"/>
        </w:trPr>
        <w:tc>
          <w:tcPr>
            <w:tcW w:w="473" w:type="pct"/>
            <w:vAlign w:val="center"/>
          </w:tcPr>
          <w:p w14:paraId="7CA59FEB"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5740873B" w14:textId="78F4F64D"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78" w:type="pct"/>
            <w:shd w:val="clear" w:color="auto" w:fill="auto"/>
            <w:vAlign w:val="center"/>
          </w:tcPr>
          <w:p w14:paraId="589F2259" w14:textId="1324BBA4"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80" w:type="pct"/>
            <w:shd w:val="clear" w:color="auto" w:fill="auto"/>
            <w:vAlign w:val="center"/>
          </w:tcPr>
          <w:p w14:paraId="6BF5A764" w14:textId="4ECAC5B1"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8" w:type="pct"/>
            <w:shd w:val="clear" w:color="auto" w:fill="auto"/>
            <w:vAlign w:val="center"/>
          </w:tcPr>
          <w:p w14:paraId="4A239938" w14:textId="08193E05"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80" w:type="pct"/>
            <w:shd w:val="clear" w:color="auto" w:fill="auto"/>
            <w:vAlign w:val="center"/>
          </w:tcPr>
          <w:p w14:paraId="52B9D6C7" w14:textId="623DA26E"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80" w:type="pct"/>
            <w:shd w:val="clear" w:color="auto" w:fill="auto"/>
            <w:vAlign w:val="center"/>
          </w:tcPr>
          <w:p w14:paraId="3E717D8A" w14:textId="78F4F2FF"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8" w:type="pct"/>
            <w:shd w:val="clear" w:color="auto" w:fill="auto"/>
            <w:vAlign w:val="center"/>
          </w:tcPr>
          <w:p w14:paraId="22E9EA88" w14:textId="5CDCB37F" w:rsidR="00D2042F" w:rsidRPr="0008129B" w:rsidRDefault="009922E1" w:rsidP="00D2042F">
            <w:pPr>
              <w:ind w:leftChars="-50" w:left="-105" w:rightChars="-50" w:right="-105"/>
              <w:jc w:val="center"/>
              <w:rPr>
                <w:rFonts w:ascii="Times New Roman" w:hAnsi="Times New Roman" w:cs="Times New Roman"/>
                <w:sz w:val="22"/>
              </w:rPr>
            </w:pPr>
            <w:r>
              <w:rPr>
                <w:rFonts w:ascii="Times New Roman" w:hAnsi="Times New Roman" w:cs="Times New Roman"/>
                <w:sz w:val="22"/>
              </w:rPr>
              <w:t>100</w:t>
            </w:r>
          </w:p>
        </w:tc>
        <w:tc>
          <w:tcPr>
            <w:tcW w:w="380" w:type="pct"/>
            <w:shd w:val="clear" w:color="auto" w:fill="auto"/>
            <w:vAlign w:val="center"/>
          </w:tcPr>
          <w:p w14:paraId="02D71D41" w14:textId="6E3C18C0"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80" w:type="pct"/>
            <w:shd w:val="clear" w:color="auto" w:fill="auto"/>
            <w:vAlign w:val="center"/>
          </w:tcPr>
          <w:p w14:paraId="118A02C9" w14:textId="0328B455"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8" w:type="pct"/>
            <w:shd w:val="clear" w:color="auto" w:fill="auto"/>
            <w:vAlign w:val="center"/>
          </w:tcPr>
          <w:p w14:paraId="76998706" w14:textId="2267CA94"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80" w:type="pct"/>
            <w:shd w:val="clear" w:color="auto" w:fill="auto"/>
            <w:vAlign w:val="center"/>
          </w:tcPr>
          <w:p w14:paraId="7ADDF640" w14:textId="6CB6AD0D" w:rsidR="00D2042F" w:rsidRPr="0008129B" w:rsidRDefault="009922E1" w:rsidP="00D2042F">
            <w:pPr>
              <w:ind w:leftChars="-50" w:left="-105" w:rightChars="-50" w:right="-105"/>
              <w:jc w:val="center"/>
              <w:rPr>
                <w:rFonts w:ascii="Times New Roman" w:hAnsi="Times New Roman" w:cs="Times New Roman"/>
                <w:sz w:val="22"/>
              </w:rPr>
            </w:pPr>
            <w:r>
              <w:rPr>
                <w:rFonts w:ascii="Times New Roman" w:hAnsi="Times New Roman" w:cs="Times New Roman"/>
                <w:sz w:val="22"/>
              </w:rPr>
              <w:t>90.0</w:t>
            </w:r>
          </w:p>
        </w:tc>
        <w:tc>
          <w:tcPr>
            <w:tcW w:w="368" w:type="pct"/>
            <w:shd w:val="clear" w:color="auto" w:fill="auto"/>
            <w:vAlign w:val="center"/>
          </w:tcPr>
          <w:p w14:paraId="303CE5DE" w14:textId="251AFB73"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65" w:type="pct"/>
            <w:vAlign w:val="center"/>
          </w:tcPr>
          <w:p w14:paraId="2DF476D8" w14:textId="79124791" w:rsidR="00D2042F" w:rsidRPr="00D2042F" w:rsidRDefault="002B5646"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9</w:t>
            </w:r>
            <w:r>
              <w:rPr>
                <w:rFonts w:ascii="Times New Roman" w:hAnsi="Times New Roman" w:cs="Times New Roman"/>
                <w:sz w:val="22"/>
              </w:rPr>
              <w:t>8.6</w:t>
            </w:r>
          </w:p>
        </w:tc>
      </w:tr>
    </w:tbl>
    <w:p w14:paraId="6064EBBC" w14:textId="20A91D6F" w:rsidR="002A511F" w:rsidRPr="00155ADA" w:rsidRDefault="00376B52" w:rsidP="00155ADA">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存在超标的</w:t>
      </w:r>
      <w:r w:rsidR="000A1DC8">
        <w:rPr>
          <w:rFonts w:ascii="Times New Roman" w:eastAsia="仿宋_GB2312" w:hAnsi="Times New Roman" w:cs="Times New Roman" w:hint="eastAsia"/>
          <w:bCs/>
          <w:kern w:val="44"/>
          <w:sz w:val="28"/>
          <w:szCs w:val="28"/>
        </w:rPr>
        <w:t>单位</w:t>
      </w:r>
      <w:r w:rsidRPr="00F70D6C">
        <w:rPr>
          <w:rFonts w:ascii="Times New Roman" w:eastAsia="仿宋_GB2312" w:hAnsi="Times New Roman" w:cs="Times New Roman"/>
          <w:bCs/>
          <w:kern w:val="44"/>
          <w:sz w:val="28"/>
          <w:szCs w:val="28"/>
        </w:rPr>
        <w:t>共</w:t>
      </w:r>
      <w:r w:rsidR="009172D6">
        <w:rPr>
          <w:rFonts w:ascii="Times New Roman" w:eastAsia="仿宋_GB2312" w:hAnsi="Times New Roman" w:cs="Times New Roman"/>
          <w:bCs/>
          <w:kern w:val="44"/>
          <w:sz w:val="28"/>
          <w:szCs w:val="28"/>
        </w:rPr>
        <w:t>2</w:t>
      </w:r>
      <w:r w:rsidRPr="00F70D6C">
        <w:rPr>
          <w:rFonts w:ascii="Times New Roman" w:eastAsia="仿宋_GB2312" w:hAnsi="Times New Roman" w:cs="Times New Roman"/>
          <w:bCs/>
          <w:kern w:val="44"/>
          <w:sz w:val="28"/>
          <w:szCs w:val="28"/>
        </w:rPr>
        <w:t>家，</w:t>
      </w:r>
      <w:r w:rsidR="009172D6">
        <w:rPr>
          <w:rFonts w:ascii="Times New Roman" w:eastAsia="仿宋_GB2312" w:hAnsi="Times New Roman" w:cs="Times New Roman" w:hint="eastAsia"/>
          <w:bCs/>
          <w:kern w:val="44"/>
          <w:sz w:val="28"/>
          <w:szCs w:val="28"/>
        </w:rPr>
        <w:t>均</w:t>
      </w:r>
      <w:r w:rsidRPr="00F70D6C">
        <w:rPr>
          <w:rFonts w:ascii="Times New Roman" w:eastAsia="仿宋_GB2312" w:hAnsi="Times New Roman" w:cs="Times New Roman" w:hint="eastAsia"/>
          <w:bCs/>
          <w:kern w:val="44"/>
          <w:sz w:val="28"/>
          <w:szCs w:val="28"/>
        </w:rPr>
        <w:t>位于</w:t>
      </w:r>
      <w:r w:rsidR="009172D6">
        <w:rPr>
          <w:rFonts w:ascii="Times New Roman" w:eastAsia="仿宋_GB2312" w:hAnsi="Times New Roman" w:cs="Times New Roman" w:hint="eastAsia"/>
          <w:bCs/>
          <w:kern w:val="44"/>
          <w:sz w:val="28"/>
          <w:szCs w:val="28"/>
        </w:rPr>
        <w:t>台州</w:t>
      </w:r>
      <w:r w:rsidRPr="00F70D6C">
        <w:rPr>
          <w:rFonts w:ascii="Times New Roman" w:eastAsia="仿宋_GB2312" w:hAnsi="Times New Roman" w:cs="Times New Roman" w:hint="eastAsia"/>
          <w:bCs/>
          <w:kern w:val="44"/>
          <w:sz w:val="28"/>
          <w:szCs w:val="28"/>
        </w:rPr>
        <w:t>，</w:t>
      </w:r>
      <w:r w:rsidR="00F774EF" w:rsidRPr="00F70D6C">
        <w:rPr>
          <w:rFonts w:ascii="Times New Roman" w:eastAsia="仿宋_GB2312" w:hAnsi="Times New Roman" w:cs="Times New Roman" w:hint="eastAsia"/>
          <w:bCs/>
          <w:kern w:val="44"/>
          <w:sz w:val="28"/>
          <w:szCs w:val="28"/>
        </w:rPr>
        <w:t>超标行业为</w:t>
      </w:r>
      <w:r w:rsidR="009172D6" w:rsidRPr="009172D6">
        <w:rPr>
          <w:rFonts w:ascii="Times New Roman" w:eastAsia="仿宋_GB2312" w:hAnsi="Times New Roman" w:cs="Times New Roman" w:hint="eastAsia"/>
          <w:bCs/>
          <w:kern w:val="44"/>
          <w:sz w:val="28"/>
          <w:szCs w:val="28"/>
        </w:rPr>
        <w:t>电力、热力生产和供应业</w:t>
      </w:r>
      <w:r w:rsidR="009172D6">
        <w:rPr>
          <w:rFonts w:ascii="Times New Roman" w:eastAsia="仿宋_GB2312" w:hAnsi="Times New Roman" w:cs="Times New Roman" w:hint="eastAsia"/>
          <w:bCs/>
          <w:kern w:val="44"/>
          <w:sz w:val="28"/>
          <w:szCs w:val="28"/>
        </w:rPr>
        <w:t>、</w:t>
      </w:r>
      <w:r w:rsidR="009172D6" w:rsidRPr="009172D6">
        <w:rPr>
          <w:rFonts w:ascii="Times New Roman" w:eastAsia="仿宋_GB2312" w:hAnsi="Times New Roman" w:cs="Times New Roman" w:hint="eastAsia"/>
          <w:bCs/>
          <w:kern w:val="44"/>
          <w:sz w:val="28"/>
          <w:szCs w:val="28"/>
        </w:rPr>
        <w:t>生态保护和环境治理业</w:t>
      </w:r>
      <w:r w:rsidR="00F774EF" w:rsidRPr="00F70D6C">
        <w:rPr>
          <w:rFonts w:ascii="Times New Roman" w:eastAsia="仿宋_GB2312" w:hAnsi="Times New Roman" w:cs="Times New Roman" w:hint="eastAsia"/>
          <w:bCs/>
          <w:kern w:val="44"/>
          <w:sz w:val="28"/>
          <w:szCs w:val="28"/>
        </w:rPr>
        <w:t>，</w:t>
      </w:r>
      <w:r w:rsidRPr="00F70D6C">
        <w:rPr>
          <w:rFonts w:ascii="Times New Roman" w:eastAsia="仿宋_GB2312" w:hAnsi="Times New Roman" w:cs="Times New Roman" w:hint="eastAsia"/>
          <w:bCs/>
          <w:kern w:val="44"/>
          <w:sz w:val="28"/>
          <w:szCs w:val="28"/>
        </w:rPr>
        <w:t>超标指标为</w:t>
      </w:r>
      <w:r w:rsidR="009172D6" w:rsidRPr="009172D6">
        <w:rPr>
          <w:rFonts w:ascii="Times New Roman" w:eastAsia="仿宋_GB2312" w:hAnsi="Times New Roman" w:cs="Times New Roman" w:hint="eastAsia"/>
          <w:bCs/>
          <w:kern w:val="44"/>
          <w:sz w:val="28"/>
          <w:szCs w:val="28"/>
        </w:rPr>
        <w:t>锑，砷，铅，铬，钴，铜，锰，镍及其化合物</w:t>
      </w:r>
      <w:r w:rsidR="009172D6">
        <w:rPr>
          <w:rFonts w:ascii="Times New Roman" w:eastAsia="仿宋_GB2312" w:hAnsi="Times New Roman" w:cs="Times New Roman" w:hint="eastAsia"/>
          <w:bCs/>
          <w:kern w:val="44"/>
          <w:sz w:val="28"/>
          <w:szCs w:val="28"/>
        </w:rPr>
        <w:t>、</w:t>
      </w:r>
      <w:r w:rsidRPr="00F70D6C">
        <w:rPr>
          <w:rFonts w:ascii="Times New Roman" w:eastAsia="仿宋_GB2312" w:hAnsi="Times New Roman" w:cs="Times New Roman"/>
          <w:bCs/>
          <w:kern w:val="44"/>
          <w:sz w:val="28"/>
          <w:szCs w:val="28"/>
        </w:rPr>
        <w:t>二噁英类</w:t>
      </w:r>
      <w:r w:rsidRPr="00F70D6C">
        <w:rPr>
          <w:rFonts w:ascii="Times New Roman" w:eastAsia="仿宋_GB2312" w:hAnsi="Times New Roman" w:cs="Times New Roman" w:hint="eastAsia"/>
          <w:bCs/>
          <w:kern w:val="44"/>
          <w:sz w:val="28"/>
          <w:szCs w:val="28"/>
        </w:rPr>
        <w:t>。</w:t>
      </w:r>
      <w:bookmarkStart w:id="8" w:name="_Toc126401599"/>
    </w:p>
    <w:p w14:paraId="0340BF92" w14:textId="07C30A0B" w:rsidR="00620052" w:rsidRPr="00317502" w:rsidRDefault="006A7CB9" w:rsidP="001B765A">
      <w:pPr>
        <w:spacing w:beforeLines="20" w:before="62" w:afterLines="20" w:after="62" w:line="560" w:lineRule="exact"/>
        <w:ind w:firstLineChars="200" w:firstLine="562"/>
        <w:outlineLvl w:val="1"/>
        <w:rPr>
          <w:rFonts w:ascii="仿宋" w:eastAsia="仿宋" w:hAnsi="仿宋" w:cs="Times New Roman"/>
          <w:b/>
          <w:bCs/>
          <w:kern w:val="44"/>
          <w:sz w:val="28"/>
          <w:szCs w:val="28"/>
        </w:rPr>
      </w:pPr>
      <w:r w:rsidRPr="00317502">
        <w:rPr>
          <w:rFonts w:ascii="仿宋" w:eastAsia="仿宋" w:hAnsi="仿宋" w:cs="Times New Roman" w:hint="eastAsia"/>
          <w:b/>
          <w:bCs/>
          <w:kern w:val="44"/>
          <w:sz w:val="28"/>
          <w:szCs w:val="28"/>
        </w:rPr>
        <w:lastRenderedPageBreak/>
        <w:t>（</w:t>
      </w:r>
      <w:r w:rsidR="00317502" w:rsidRPr="00317502">
        <w:rPr>
          <w:rFonts w:ascii="仿宋" w:eastAsia="仿宋" w:hAnsi="仿宋" w:cs="Times New Roman" w:hint="eastAsia"/>
          <w:b/>
          <w:bCs/>
          <w:kern w:val="44"/>
          <w:sz w:val="28"/>
          <w:szCs w:val="28"/>
        </w:rPr>
        <w:t>六</w:t>
      </w:r>
      <w:r w:rsidRPr="00317502">
        <w:rPr>
          <w:rFonts w:ascii="仿宋" w:eastAsia="仿宋" w:hAnsi="仿宋" w:cs="Times New Roman" w:hint="eastAsia"/>
          <w:b/>
          <w:bCs/>
          <w:kern w:val="44"/>
          <w:sz w:val="28"/>
          <w:szCs w:val="28"/>
        </w:rPr>
        <w:t>）</w:t>
      </w:r>
      <w:r w:rsidR="00620052" w:rsidRPr="00317502">
        <w:rPr>
          <w:rFonts w:ascii="仿宋" w:eastAsia="仿宋" w:hAnsi="仿宋" w:cs="Times New Roman"/>
          <w:b/>
          <w:bCs/>
          <w:kern w:val="44"/>
          <w:sz w:val="28"/>
          <w:szCs w:val="28"/>
        </w:rPr>
        <w:t>生活垃圾填埋场</w:t>
      </w:r>
      <w:bookmarkEnd w:id="8"/>
    </w:p>
    <w:p w14:paraId="6601E694" w14:textId="49805081" w:rsidR="00620052" w:rsidRPr="00F70D6C" w:rsidRDefault="006A7CB9"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hint="eastAsia"/>
          <w:bCs/>
          <w:kern w:val="44"/>
          <w:sz w:val="28"/>
          <w:szCs w:val="28"/>
        </w:rPr>
        <w:t>1</w:t>
      </w:r>
      <w:r w:rsidR="00F70D6C">
        <w:rPr>
          <w:rFonts w:ascii="Times New Roman" w:eastAsia="仿宋_GB2312" w:hAnsi="Times New Roman" w:cs="Times New Roman" w:hint="eastAsia"/>
          <w:bCs/>
          <w:kern w:val="44"/>
          <w:sz w:val="28"/>
          <w:szCs w:val="28"/>
        </w:rPr>
        <w:t>.</w:t>
      </w:r>
      <w:r w:rsidR="00620052" w:rsidRPr="00F70D6C">
        <w:rPr>
          <w:rFonts w:ascii="Times New Roman" w:eastAsia="仿宋_GB2312" w:hAnsi="Times New Roman" w:cs="Times New Roman"/>
          <w:bCs/>
          <w:kern w:val="44"/>
          <w:sz w:val="28"/>
          <w:szCs w:val="28"/>
        </w:rPr>
        <w:t>废水监测情况</w:t>
      </w:r>
    </w:p>
    <w:p w14:paraId="466EF33A" w14:textId="66F34D30" w:rsidR="00620052" w:rsidRPr="00F70D6C" w:rsidRDefault="00620052"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全省共开展了</w:t>
      </w:r>
      <w:r w:rsidR="001027C7">
        <w:rPr>
          <w:rFonts w:ascii="Times New Roman" w:eastAsia="仿宋_GB2312" w:hAnsi="Times New Roman" w:cs="Times New Roman"/>
          <w:bCs/>
          <w:kern w:val="44"/>
          <w:sz w:val="28"/>
          <w:szCs w:val="28"/>
        </w:rPr>
        <w:t>81</w:t>
      </w:r>
      <w:r w:rsidR="00C879DB" w:rsidRPr="00F70D6C">
        <w:rPr>
          <w:rFonts w:ascii="Times New Roman" w:eastAsia="仿宋_GB2312" w:hAnsi="Times New Roman" w:cs="Times New Roman"/>
          <w:bCs/>
          <w:kern w:val="44"/>
          <w:sz w:val="28"/>
          <w:szCs w:val="28"/>
        </w:rPr>
        <w:t>家</w:t>
      </w:r>
      <w:r w:rsidRPr="00F70D6C">
        <w:rPr>
          <w:rFonts w:ascii="Times New Roman" w:eastAsia="仿宋_GB2312" w:hAnsi="Times New Roman" w:cs="Times New Roman"/>
          <w:bCs/>
          <w:kern w:val="44"/>
          <w:sz w:val="28"/>
          <w:szCs w:val="28"/>
        </w:rPr>
        <w:t>生活垃圾填埋场废水排放监测，</w:t>
      </w:r>
      <w:r w:rsidR="00C879DB" w:rsidRPr="00F70D6C">
        <w:rPr>
          <w:rFonts w:ascii="Times New Roman" w:eastAsia="仿宋_GB2312" w:hAnsi="Times New Roman" w:cs="Times New Roman"/>
          <w:bCs/>
          <w:kern w:val="44"/>
          <w:sz w:val="28"/>
          <w:szCs w:val="28"/>
        </w:rPr>
        <w:t>总体</w:t>
      </w:r>
      <w:r w:rsidRPr="00F70D6C">
        <w:rPr>
          <w:rFonts w:ascii="Times New Roman" w:eastAsia="仿宋_GB2312" w:hAnsi="Times New Roman" w:cs="Times New Roman"/>
          <w:bCs/>
          <w:kern w:val="44"/>
          <w:sz w:val="28"/>
          <w:szCs w:val="28"/>
        </w:rPr>
        <w:t>达标率为</w:t>
      </w:r>
      <w:r w:rsidR="004907FE" w:rsidRPr="00F70D6C">
        <w:rPr>
          <w:rFonts w:ascii="Times New Roman" w:eastAsia="仿宋_GB2312" w:hAnsi="Times New Roman" w:cs="Times New Roman"/>
          <w:bCs/>
          <w:kern w:val="44"/>
          <w:sz w:val="28"/>
          <w:szCs w:val="28"/>
        </w:rPr>
        <w:t>100</w:t>
      </w:r>
      <w:r w:rsidRPr="00F70D6C">
        <w:rPr>
          <w:rFonts w:ascii="Times New Roman" w:eastAsia="仿宋_GB2312" w:hAnsi="Times New Roman" w:cs="Times New Roman"/>
          <w:bCs/>
          <w:kern w:val="44"/>
          <w:sz w:val="28"/>
          <w:szCs w:val="28"/>
        </w:rPr>
        <w:t>%</w:t>
      </w:r>
      <w:r w:rsidR="001027C7">
        <w:rPr>
          <w:rFonts w:ascii="Times New Roman" w:eastAsia="仿宋_GB2312" w:hAnsi="Times New Roman" w:cs="Times New Roman" w:hint="eastAsia"/>
          <w:bCs/>
          <w:kern w:val="44"/>
          <w:sz w:val="28"/>
          <w:szCs w:val="28"/>
        </w:rPr>
        <w:t>，与上年持平</w:t>
      </w:r>
      <w:r w:rsidRPr="00F70D6C">
        <w:rPr>
          <w:rFonts w:ascii="Times New Roman" w:eastAsia="仿宋_GB2312" w:hAnsi="Times New Roman" w:cs="Times New Roman"/>
          <w:bCs/>
          <w:kern w:val="44"/>
          <w:sz w:val="28"/>
          <w:szCs w:val="28"/>
        </w:rPr>
        <w:t>。各设区市达标</w:t>
      </w:r>
      <w:r w:rsidR="004907FE" w:rsidRPr="00F70D6C">
        <w:rPr>
          <w:rFonts w:ascii="Times New Roman" w:eastAsia="仿宋_GB2312" w:hAnsi="Times New Roman" w:cs="Times New Roman" w:hint="eastAsia"/>
          <w:bCs/>
          <w:kern w:val="44"/>
          <w:sz w:val="28"/>
          <w:szCs w:val="28"/>
        </w:rPr>
        <w:t>率</w:t>
      </w:r>
      <w:r w:rsidR="00590DA0" w:rsidRPr="00F70D6C">
        <w:rPr>
          <w:rFonts w:ascii="Times New Roman" w:eastAsia="仿宋_GB2312" w:hAnsi="Times New Roman" w:cs="Times New Roman" w:hint="eastAsia"/>
          <w:bCs/>
          <w:kern w:val="44"/>
          <w:sz w:val="28"/>
          <w:szCs w:val="28"/>
        </w:rPr>
        <w:t>均为</w:t>
      </w:r>
      <w:r w:rsidR="00590DA0" w:rsidRPr="00F70D6C">
        <w:rPr>
          <w:rFonts w:ascii="Times New Roman" w:eastAsia="仿宋_GB2312" w:hAnsi="Times New Roman" w:cs="Times New Roman" w:hint="eastAsia"/>
          <w:bCs/>
          <w:kern w:val="44"/>
          <w:sz w:val="28"/>
          <w:szCs w:val="28"/>
        </w:rPr>
        <w:t>1</w:t>
      </w:r>
      <w:r w:rsidR="00590DA0" w:rsidRPr="00F70D6C">
        <w:rPr>
          <w:rFonts w:ascii="Times New Roman" w:eastAsia="仿宋_GB2312" w:hAnsi="Times New Roman" w:cs="Times New Roman"/>
          <w:bCs/>
          <w:kern w:val="44"/>
          <w:sz w:val="28"/>
          <w:szCs w:val="28"/>
        </w:rPr>
        <w:t>00%</w:t>
      </w:r>
      <w:r w:rsidR="00590DA0" w:rsidRPr="00F70D6C">
        <w:rPr>
          <w:rFonts w:ascii="Times New Roman" w:eastAsia="仿宋_GB2312" w:hAnsi="Times New Roman" w:cs="Times New Roman"/>
          <w:bCs/>
          <w:kern w:val="44"/>
          <w:sz w:val="28"/>
          <w:szCs w:val="28"/>
        </w:rPr>
        <w:t>。</w:t>
      </w:r>
    </w:p>
    <w:p w14:paraId="2975DBCD" w14:textId="00ACD10A" w:rsidR="00620052" w:rsidRPr="00E95B6F" w:rsidRDefault="00620052" w:rsidP="00630A51">
      <w:pPr>
        <w:spacing w:line="56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F7D2F" w:rsidRPr="00E95B6F">
        <w:rPr>
          <w:rFonts w:ascii="Times New Roman" w:eastAsia="仿宋_GB2312" w:hAnsi="Times New Roman" w:cs="Times New Roman"/>
          <w:b/>
          <w:sz w:val="24"/>
          <w:szCs w:val="24"/>
        </w:rPr>
        <w:t>1</w:t>
      </w:r>
      <w:r w:rsidR="008E2F43">
        <w:rPr>
          <w:rFonts w:ascii="Times New Roman" w:eastAsia="仿宋_GB2312" w:hAnsi="Times New Roman" w:cs="Times New Roman"/>
          <w:b/>
          <w:sz w:val="24"/>
          <w:szCs w:val="24"/>
        </w:rPr>
        <w:t>2</w:t>
      </w:r>
      <w:r w:rsidRPr="00E95B6F">
        <w:rPr>
          <w:rFonts w:ascii="Times New Roman" w:eastAsia="仿宋_GB2312" w:hAnsi="Times New Roman" w:cs="Times New Roman"/>
          <w:b/>
          <w:sz w:val="24"/>
          <w:szCs w:val="24"/>
        </w:rPr>
        <w:t xml:space="preserve">    </w:t>
      </w:r>
      <w:r w:rsidR="004907FE">
        <w:rPr>
          <w:rFonts w:ascii="Times New Roman" w:eastAsia="仿宋_GB2312" w:hAnsi="Times New Roman" w:cs="Times New Roman"/>
          <w:b/>
          <w:sz w:val="24"/>
          <w:szCs w:val="24"/>
        </w:rPr>
        <w:t>生活垃圾填埋场废水</w:t>
      </w:r>
      <w:r w:rsidR="000A1DC8">
        <w:rPr>
          <w:rFonts w:ascii="Times New Roman" w:eastAsia="仿宋_GB2312" w:hAnsi="Times New Roman" w:cs="Times New Roman" w:hint="eastAsia"/>
          <w:b/>
          <w:sz w:val="24"/>
          <w:szCs w:val="24"/>
        </w:rPr>
        <w:t>分区域</w:t>
      </w:r>
      <w:r w:rsidR="004907FE">
        <w:rPr>
          <w:rFonts w:ascii="Times New Roman" w:eastAsia="仿宋_GB2312" w:hAnsi="Times New Roman" w:cs="Times New Roman"/>
          <w:b/>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28"/>
        <w:gridCol w:w="629"/>
        <w:gridCol w:w="629"/>
        <w:gridCol w:w="629"/>
        <w:gridCol w:w="627"/>
        <w:gridCol w:w="627"/>
        <w:gridCol w:w="627"/>
        <w:gridCol w:w="626"/>
        <w:gridCol w:w="626"/>
        <w:gridCol w:w="626"/>
        <w:gridCol w:w="616"/>
        <w:gridCol w:w="616"/>
      </w:tblGrid>
      <w:tr w:rsidR="00D2042F" w:rsidRPr="0008129B" w14:paraId="3A1D8263" w14:textId="15E697D3" w:rsidTr="00384238">
        <w:trPr>
          <w:trHeight w:val="567"/>
          <w:jc w:val="center"/>
        </w:trPr>
        <w:tc>
          <w:tcPr>
            <w:tcW w:w="477" w:type="pct"/>
            <w:vAlign w:val="center"/>
          </w:tcPr>
          <w:p w14:paraId="782E6CDD" w14:textId="6D0C7863"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设区市</w:t>
            </w:r>
          </w:p>
        </w:tc>
        <w:tc>
          <w:tcPr>
            <w:tcW w:w="379" w:type="pct"/>
            <w:shd w:val="clear" w:color="auto" w:fill="auto"/>
            <w:vAlign w:val="center"/>
          </w:tcPr>
          <w:p w14:paraId="53DCB7EA"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杭州</w:t>
            </w:r>
          </w:p>
        </w:tc>
        <w:tc>
          <w:tcPr>
            <w:tcW w:w="379" w:type="pct"/>
            <w:shd w:val="clear" w:color="auto" w:fill="auto"/>
            <w:vAlign w:val="center"/>
          </w:tcPr>
          <w:p w14:paraId="558879A0"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宁波</w:t>
            </w:r>
          </w:p>
        </w:tc>
        <w:tc>
          <w:tcPr>
            <w:tcW w:w="379" w:type="pct"/>
            <w:shd w:val="clear" w:color="auto" w:fill="auto"/>
            <w:vAlign w:val="center"/>
          </w:tcPr>
          <w:p w14:paraId="6FAEE55C"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温州</w:t>
            </w:r>
          </w:p>
        </w:tc>
        <w:tc>
          <w:tcPr>
            <w:tcW w:w="379" w:type="pct"/>
            <w:shd w:val="clear" w:color="auto" w:fill="auto"/>
            <w:vAlign w:val="center"/>
          </w:tcPr>
          <w:p w14:paraId="23A1EC64" w14:textId="5F690506"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湖州</w:t>
            </w:r>
          </w:p>
        </w:tc>
        <w:tc>
          <w:tcPr>
            <w:tcW w:w="378" w:type="pct"/>
            <w:shd w:val="clear" w:color="auto" w:fill="auto"/>
            <w:vAlign w:val="center"/>
          </w:tcPr>
          <w:p w14:paraId="15F67672" w14:textId="5AF2935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嘉兴</w:t>
            </w:r>
          </w:p>
        </w:tc>
        <w:tc>
          <w:tcPr>
            <w:tcW w:w="378" w:type="pct"/>
            <w:shd w:val="clear" w:color="auto" w:fill="auto"/>
            <w:vAlign w:val="center"/>
          </w:tcPr>
          <w:p w14:paraId="2B2ABD25"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绍兴</w:t>
            </w:r>
          </w:p>
        </w:tc>
        <w:tc>
          <w:tcPr>
            <w:tcW w:w="378" w:type="pct"/>
            <w:shd w:val="clear" w:color="auto" w:fill="auto"/>
            <w:vAlign w:val="center"/>
          </w:tcPr>
          <w:p w14:paraId="21A70418"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金华</w:t>
            </w:r>
          </w:p>
        </w:tc>
        <w:tc>
          <w:tcPr>
            <w:tcW w:w="377" w:type="pct"/>
            <w:shd w:val="clear" w:color="auto" w:fill="auto"/>
            <w:vAlign w:val="center"/>
          </w:tcPr>
          <w:p w14:paraId="1F54C36B"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衢州</w:t>
            </w:r>
          </w:p>
        </w:tc>
        <w:tc>
          <w:tcPr>
            <w:tcW w:w="377" w:type="pct"/>
            <w:shd w:val="clear" w:color="auto" w:fill="auto"/>
            <w:vAlign w:val="center"/>
          </w:tcPr>
          <w:p w14:paraId="11D9AA47"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舟山</w:t>
            </w:r>
          </w:p>
        </w:tc>
        <w:tc>
          <w:tcPr>
            <w:tcW w:w="377" w:type="pct"/>
            <w:shd w:val="clear" w:color="auto" w:fill="auto"/>
            <w:vAlign w:val="center"/>
          </w:tcPr>
          <w:p w14:paraId="6666276E"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台州</w:t>
            </w:r>
          </w:p>
        </w:tc>
        <w:tc>
          <w:tcPr>
            <w:tcW w:w="371" w:type="pct"/>
            <w:shd w:val="clear" w:color="auto" w:fill="auto"/>
            <w:vAlign w:val="center"/>
          </w:tcPr>
          <w:p w14:paraId="7803854B"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丽水</w:t>
            </w:r>
          </w:p>
        </w:tc>
        <w:tc>
          <w:tcPr>
            <w:tcW w:w="371" w:type="pct"/>
            <w:vAlign w:val="center"/>
          </w:tcPr>
          <w:p w14:paraId="4A5B446E" w14:textId="519F5DA4" w:rsidR="00D2042F" w:rsidRPr="00D2042F"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D2042F">
              <w:rPr>
                <w:rFonts w:ascii="Times New Roman" w:eastAsia="仿宋_GB2312" w:hAnsi="Times New Roman" w:cs="Times New Roman"/>
                <w:bCs/>
                <w:kern w:val="44"/>
                <w:sz w:val="22"/>
              </w:rPr>
              <w:t>全省</w:t>
            </w:r>
          </w:p>
        </w:tc>
      </w:tr>
      <w:tr w:rsidR="00D2042F" w:rsidRPr="0008129B" w14:paraId="0C147BA8" w14:textId="2A5D1471" w:rsidTr="00384238">
        <w:trPr>
          <w:trHeight w:val="321"/>
          <w:jc w:val="center"/>
        </w:trPr>
        <w:tc>
          <w:tcPr>
            <w:tcW w:w="477" w:type="pct"/>
            <w:vAlign w:val="center"/>
          </w:tcPr>
          <w:p w14:paraId="1273537F"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09668074" w14:textId="6D56E768"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（家）</w:t>
            </w:r>
          </w:p>
        </w:tc>
        <w:tc>
          <w:tcPr>
            <w:tcW w:w="379" w:type="pct"/>
            <w:shd w:val="clear" w:color="auto" w:fill="auto"/>
            <w:vAlign w:val="center"/>
          </w:tcPr>
          <w:p w14:paraId="22170DA9" w14:textId="22EA6CE8"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7</w:t>
            </w:r>
          </w:p>
        </w:tc>
        <w:tc>
          <w:tcPr>
            <w:tcW w:w="379" w:type="pct"/>
            <w:shd w:val="clear" w:color="auto" w:fill="auto"/>
            <w:vAlign w:val="center"/>
          </w:tcPr>
          <w:p w14:paraId="6973C424" w14:textId="360CE1F9"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9</w:t>
            </w:r>
          </w:p>
        </w:tc>
        <w:tc>
          <w:tcPr>
            <w:tcW w:w="379" w:type="pct"/>
            <w:shd w:val="clear" w:color="auto" w:fill="auto"/>
            <w:vAlign w:val="center"/>
          </w:tcPr>
          <w:p w14:paraId="19387851" w14:textId="4C0D79A1"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1</w:t>
            </w:r>
          </w:p>
        </w:tc>
        <w:tc>
          <w:tcPr>
            <w:tcW w:w="379" w:type="pct"/>
            <w:shd w:val="clear" w:color="auto" w:fill="auto"/>
            <w:vAlign w:val="center"/>
          </w:tcPr>
          <w:p w14:paraId="266C69BC" w14:textId="59580C67"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5</w:t>
            </w:r>
          </w:p>
        </w:tc>
        <w:tc>
          <w:tcPr>
            <w:tcW w:w="378" w:type="pct"/>
            <w:shd w:val="clear" w:color="auto" w:fill="auto"/>
            <w:vAlign w:val="center"/>
          </w:tcPr>
          <w:p w14:paraId="28210E84" w14:textId="72A0BAC9"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4</w:t>
            </w:r>
          </w:p>
        </w:tc>
        <w:tc>
          <w:tcPr>
            <w:tcW w:w="378" w:type="pct"/>
            <w:shd w:val="clear" w:color="auto" w:fill="auto"/>
            <w:vAlign w:val="center"/>
          </w:tcPr>
          <w:p w14:paraId="1736A0CB" w14:textId="69FF2ED9"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8</w:t>
            </w:r>
          </w:p>
        </w:tc>
        <w:tc>
          <w:tcPr>
            <w:tcW w:w="378" w:type="pct"/>
            <w:shd w:val="clear" w:color="auto" w:fill="auto"/>
            <w:vAlign w:val="center"/>
          </w:tcPr>
          <w:p w14:paraId="25C3401F" w14:textId="4972509F"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1</w:t>
            </w:r>
          </w:p>
        </w:tc>
        <w:tc>
          <w:tcPr>
            <w:tcW w:w="377" w:type="pct"/>
            <w:shd w:val="clear" w:color="auto" w:fill="auto"/>
            <w:vAlign w:val="center"/>
          </w:tcPr>
          <w:p w14:paraId="4E7FBDD4" w14:textId="6B7DD949"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6</w:t>
            </w:r>
          </w:p>
        </w:tc>
        <w:tc>
          <w:tcPr>
            <w:tcW w:w="377" w:type="pct"/>
            <w:shd w:val="clear" w:color="auto" w:fill="auto"/>
            <w:vAlign w:val="center"/>
          </w:tcPr>
          <w:p w14:paraId="15A23C52" w14:textId="634E4398"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3</w:t>
            </w:r>
          </w:p>
        </w:tc>
        <w:tc>
          <w:tcPr>
            <w:tcW w:w="377" w:type="pct"/>
            <w:shd w:val="clear" w:color="auto" w:fill="auto"/>
            <w:vAlign w:val="center"/>
          </w:tcPr>
          <w:p w14:paraId="0BF0C226" w14:textId="1C155838"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9</w:t>
            </w:r>
          </w:p>
        </w:tc>
        <w:tc>
          <w:tcPr>
            <w:tcW w:w="371" w:type="pct"/>
            <w:shd w:val="clear" w:color="auto" w:fill="auto"/>
            <w:vAlign w:val="center"/>
          </w:tcPr>
          <w:p w14:paraId="2E54F3AA" w14:textId="620F98AF"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8</w:t>
            </w:r>
          </w:p>
        </w:tc>
        <w:tc>
          <w:tcPr>
            <w:tcW w:w="371" w:type="pct"/>
            <w:vAlign w:val="center"/>
          </w:tcPr>
          <w:p w14:paraId="4FE5FCC8" w14:textId="23155C16" w:rsidR="00D2042F" w:rsidRPr="00D2042F"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8</w:t>
            </w:r>
            <w:r>
              <w:rPr>
                <w:rFonts w:ascii="Times New Roman" w:hAnsi="Times New Roman" w:cs="Times New Roman"/>
                <w:sz w:val="22"/>
              </w:rPr>
              <w:t>1</w:t>
            </w:r>
          </w:p>
        </w:tc>
      </w:tr>
      <w:tr w:rsidR="00D2042F" w:rsidRPr="0008129B" w14:paraId="7FE96BE2" w14:textId="451F544E" w:rsidTr="00384238">
        <w:trPr>
          <w:trHeight w:val="422"/>
          <w:jc w:val="center"/>
        </w:trPr>
        <w:tc>
          <w:tcPr>
            <w:tcW w:w="477" w:type="pct"/>
            <w:vAlign w:val="center"/>
          </w:tcPr>
          <w:p w14:paraId="39F86A6E"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7B91EFE7" w14:textId="0A17DC4D"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79" w:type="pct"/>
            <w:shd w:val="clear" w:color="auto" w:fill="auto"/>
            <w:vAlign w:val="center"/>
          </w:tcPr>
          <w:p w14:paraId="0D7EA14B" w14:textId="3DA5902F"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9" w:type="pct"/>
            <w:shd w:val="clear" w:color="auto" w:fill="auto"/>
            <w:vAlign w:val="center"/>
          </w:tcPr>
          <w:p w14:paraId="4DFE603C" w14:textId="32C78DA5"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9" w:type="pct"/>
            <w:shd w:val="clear" w:color="auto" w:fill="auto"/>
            <w:vAlign w:val="center"/>
          </w:tcPr>
          <w:p w14:paraId="32BEBB29" w14:textId="223D4D15"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9" w:type="pct"/>
            <w:shd w:val="clear" w:color="auto" w:fill="auto"/>
            <w:vAlign w:val="center"/>
          </w:tcPr>
          <w:p w14:paraId="5A1ED3CF" w14:textId="69EF9B09"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8" w:type="pct"/>
            <w:shd w:val="clear" w:color="auto" w:fill="auto"/>
            <w:vAlign w:val="center"/>
          </w:tcPr>
          <w:p w14:paraId="6BB083B7" w14:textId="651AF25C"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8" w:type="pct"/>
            <w:shd w:val="clear" w:color="auto" w:fill="auto"/>
            <w:vAlign w:val="center"/>
          </w:tcPr>
          <w:p w14:paraId="6DB9E350" w14:textId="7A382E13"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8" w:type="pct"/>
            <w:shd w:val="clear" w:color="auto" w:fill="auto"/>
            <w:vAlign w:val="center"/>
          </w:tcPr>
          <w:p w14:paraId="0F525A31" w14:textId="19CA546F"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7" w:type="pct"/>
            <w:shd w:val="clear" w:color="auto" w:fill="auto"/>
            <w:vAlign w:val="center"/>
          </w:tcPr>
          <w:p w14:paraId="655AD374" w14:textId="05B063F0"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7" w:type="pct"/>
            <w:shd w:val="clear" w:color="auto" w:fill="auto"/>
            <w:vAlign w:val="center"/>
          </w:tcPr>
          <w:p w14:paraId="686EF82F" w14:textId="36467E1C"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7" w:type="pct"/>
            <w:shd w:val="clear" w:color="auto" w:fill="auto"/>
            <w:vAlign w:val="center"/>
          </w:tcPr>
          <w:p w14:paraId="04340443" w14:textId="1B56B583"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1" w:type="pct"/>
            <w:shd w:val="clear" w:color="auto" w:fill="auto"/>
            <w:vAlign w:val="center"/>
          </w:tcPr>
          <w:p w14:paraId="5A942201" w14:textId="32107C47" w:rsidR="00D2042F" w:rsidRPr="0008129B"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1" w:type="pct"/>
            <w:vAlign w:val="center"/>
          </w:tcPr>
          <w:p w14:paraId="5DF21165" w14:textId="0369DB80" w:rsidR="00D2042F" w:rsidRPr="00D2042F" w:rsidRDefault="001027C7"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r>
    </w:tbl>
    <w:p w14:paraId="77704E35" w14:textId="65C6FDAD" w:rsidR="00620052" w:rsidRPr="00F70D6C" w:rsidRDefault="006A7CB9"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hint="eastAsia"/>
          <w:bCs/>
          <w:kern w:val="44"/>
          <w:sz w:val="28"/>
          <w:szCs w:val="28"/>
        </w:rPr>
        <w:t>2</w:t>
      </w:r>
      <w:r w:rsidR="00F70D6C">
        <w:rPr>
          <w:rFonts w:ascii="Times New Roman" w:eastAsia="仿宋_GB2312" w:hAnsi="Times New Roman" w:cs="Times New Roman" w:hint="eastAsia"/>
          <w:bCs/>
          <w:kern w:val="44"/>
          <w:sz w:val="28"/>
          <w:szCs w:val="28"/>
        </w:rPr>
        <w:t>.</w:t>
      </w:r>
      <w:r w:rsidR="00620052" w:rsidRPr="00F70D6C">
        <w:rPr>
          <w:rFonts w:ascii="Times New Roman" w:eastAsia="仿宋_GB2312" w:hAnsi="Times New Roman" w:cs="Times New Roman"/>
          <w:bCs/>
          <w:kern w:val="44"/>
          <w:sz w:val="28"/>
          <w:szCs w:val="28"/>
        </w:rPr>
        <w:t>废气监测情况</w:t>
      </w:r>
    </w:p>
    <w:p w14:paraId="6ED8F58B" w14:textId="46936898" w:rsidR="00620052" w:rsidRPr="00F70D6C" w:rsidRDefault="00620052"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全省共开展了</w:t>
      </w:r>
      <w:r w:rsidR="00D14105">
        <w:rPr>
          <w:rFonts w:ascii="Times New Roman" w:eastAsia="仿宋_GB2312" w:hAnsi="Times New Roman" w:cs="Times New Roman"/>
          <w:bCs/>
          <w:kern w:val="44"/>
          <w:sz w:val="28"/>
          <w:szCs w:val="28"/>
        </w:rPr>
        <w:t>40</w:t>
      </w:r>
      <w:r w:rsidR="004E0497" w:rsidRPr="00F70D6C">
        <w:rPr>
          <w:rFonts w:ascii="Times New Roman" w:eastAsia="仿宋_GB2312" w:hAnsi="Times New Roman" w:cs="Times New Roman" w:hint="eastAsia"/>
          <w:bCs/>
          <w:kern w:val="44"/>
          <w:sz w:val="28"/>
          <w:szCs w:val="28"/>
        </w:rPr>
        <w:t>家</w:t>
      </w:r>
      <w:r w:rsidRPr="00F70D6C">
        <w:rPr>
          <w:rFonts w:ascii="Times New Roman" w:eastAsia="仿宋_GB2312" w:hAnsi="Times New Roman" w:cs="Times New Roman"/>
          <w:bCs/>
          <w:kern w:val="44"/>
          <w:sz w:val="28"/>
          <w:szCs w:val="28"/>
        </w:rPr>
        <w:t>生活垃圾填埋场废气排放监测，达标率为</w:t>
      </w:r>
      <w:r w:rsidR="004E0497" w:rsidRPr="00F70D6C">
        <w:rPr>
          <w:rFonts w:ascii="Times New Roman" w:eastAsia="仿宋_GB2312" w:hAnsi="Times New Roman" w:cs="Times New Roman"/>
          <w:bCs/>
          <w:kern w:val="44"/>
          <w:sz w:val="28"/>
          <w:szCs w:val="28"/>
        </w:rPr>
        <w:t>9</w:t>
      </w:r>
      <w:r w:rsidR="00D14105">
        <w:rPr>
          <w:rFonts w:ascii="Times New Roman" w:eastAsia="仿宋_GB2312" w:hAnsi="Times New Roman" w:cs="Times New Roman"/>
          <w:bCs/>
          <w:kern w:val="44"/>
          <w:sz w:val="28"/>
          <w:szCs w:val="28"/>
        </w:rPr>
        <w:t>9.4</w:t>
      </w:r>
      <w:r w:rsidRPr="00F70D6C">
        <w:rPr>
          <w:rFonts w:ascii="Times New Roman" w:eastAsia="仿宋_GB2312" w:hAnsi="Times New Roman" w:cs="Times New Roman"/>
          <w:bCs/>
          <w:kern w:val="44"/>
          <w:sz w:val="28"/>
          <w:szCs w:val="28"/>
        </w:rPr>
        <w:t>%</w:t>
      </w:r>
      <w:r w:rsidR="00D14105">
        <w:rPr>
          <w:rFonts w:ascii="Times New Roman" w:eastAsia="仿宋_GB2312" w:hAnsi="Times New Roman" w:cs="Times New Roman" w:hint="eastAsia"/>
          <w:bCs/>
          <w:kern w:val="44"/>
          <w:sz w:val="28"/>
          <w:szCs w:val="28"/>
        </w:rPr>
        <w:t>，较上年上升</w:t>
      </w:r>
      <w:r w:rsidR="00D14105">
        <w:rPr>
          <w:rFonts w:ascii="Times New Roman" w:eastAsia="仿宋_GB2312" w:hAnsi="Times New Roman" w:cs="Times New Roman"/>
          <w:bCs/>
          <w:kern w:val="44"/>
          <w:sz w:val="28"/>
          <w:szCs w:val="28"/>
        </w:rPr>
        <w:t>1.1</w:t>
      </w:r>
      <w:r w:rsidR="004E0497" w:rsidRPr="00F70D6C">
        <w:rPr>
          <w:rFonts w:ascii="Times New Roman" w:eastAsia="仿宋_GB2312" w:hAnsi="Times New Roman" w:cs="Times New Roman" w:hint="eastAsia"/>
          <w:bCs/>
          <w:kern w:val="44"/>
          <w:sz w:val="28"/>
          <w:szCs w:val="28"/>
        </w:rPr>
        <w:t>个百分点</w:t>
      </w:r>
      <w:r w:rsidRPr="00F70D6C">
        <w:rPr>
          <w:rFonts w:ascii="Times New Roman" w:eastAsia="仿宋_GB2312" w:hAnsi="Times New Roman" w:cs="Times New Roman"/>
          <w:bCs/>
          <w:kern w:val="44"/>
          <w:sz w:val="28"/>
          <w:szCs w:val="28"/>
        </w:rPr>
        <w:t>。</w:t>
      </w:r>
      <w:r w:rsidR="007F1732" w:rsidRPr="00F70D6C">
        <w:rPr>
          <w:rFonts w:ascii="Times New Roman" w:eastAsia="仿宋_GB2312" w:hAnsi="Times New Roman" w:cs="Times New Roman"/>
          <w:bCs/>
          <w:kern w:val="44"/>
          <w:sz w:val="28"/>
          <w:szCs w:val="28"/>
        </w:rPr>
        <w:t>各设区市达标率范围为</w:t>
      </w:r>
      <w:r w:rsidR="00A96368">
        <w:rPr>
          <w:rFonts w:ascii="Times New Roman" w:eastAsia="仿宋_GB2312" w:hAnsi="Times New Roman" w:cs="Times New Roman"/>
          <w:bCs/>
          <w:kern w:val="44"/>
          <w:sz w:val="28"/>
          <w:szCs w:val="28"/>
        </w:rPr>
        <w:t>95.0</w:t>
      </w:r>
      <w:r w:rsidR="00CC342E" w:rsidRPr="00F70D6C">
        <w:rPr>
          <w:rFonts w:ascii="Times New Roman" w:eastAsia="仿宋_GB2312" w:hAnsi="Times New Roman" w:cs="Times New Roman"/>
          <w:bCs/>
          <w:kern w:val="44"/>
          <w:sz w:val="28"/>
          <w:szCs w:val="28"/>
        </w:rPr>
        <w:t>%</w:t>
      </w:r>
      <w:r w:rsidR="007F1732" w:rsidRPr="00F70D6C">
        <w:rPr>
          <w:rFonts w:ascii="Times New Roman" w:eastAsia="仿宋_GB2312" w:hAnsi="Times New Roman" w:cs="Times New Roman"/>
          <w:bCs/>
          <w:kern w:val="44"/>
          <w:sz w:val="28"/>
          <w:szCs w:val="28"/>
        </w:rPr>
        <w:t>-100%</w:t>
      </w:r>
      <w:r w:rsidR="007F1732" w:rsidRPr="00F70D6C">
        <w:rPr>
          <w:rFonts w:ascii="Times New Roman" w:eastAsia="仿宋_GB2312" w:hAnsi="Times New Roman" w:cs="Times New Roman"/>
          <w:bCs/>
          <w:kern w:val="44"/>
          <w:sz w:val="28"/>
          <w:szCs w:val="28"/>
        </w:rPr>
        <w:t>，</w:t>
      </w:r>
      <w:r w:rsidR="008F2F85">
        <w:rPr>
          <w:rFonts w:ascii="Times New Roman" w:eastAsia="仿宋_GB2312" w:hAnsi="Times New Roman" w:cs="Times New Roman" w:hint="eastAsia"/>
          <w:bCs/>
          <w:kern w:val="44"/>
          <w:sz w:val="28"/>
          <w:szCs w:val="28"/>
        </w:rPr>
        <w:t>除杭州外，其余各市均未出现超标现象。</w:t>
      </w:r>
    </w:p>
    <w:p w14:paraId="1450CA63" w14:textId="4F0C527E" w:rsidR="00620052" w:rsidRPr="00E95B6F" w:rsidRDefault="00620052" w:rsidP="00630A51">
      <w:pPr>
        <w:spacing w:line="56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E2F43">
        <w:rPr>
          <w:rFonts w:ascii="Times New Roman" w:eastAsia="仿宋_GB2312" w:hAnsi="Times New Roman" w:cs="Times New Roman"/>
          <w:b/>
          <w:sz w:val="24"/>
          <w:szCs w:val="24"/>
        </w:rPr>
        <w:t>13</w:t>
      </w:r>
      <w:r w:rsidRPr="00E95B6F">
        <w:rPr>
          <w:rFonts w:ascii="Times New Roman" w:eastAsia="仿宋_GB2312" w:hAnsi="Times New Roman" w:cs="Times New Roman"/>
          <w:b/>
          <w:sz w:val="24"/>
          <w:szCs w:val="24"/>
        </w:rPr>
        <w:t xml:space="preserve">    </w:t>
      </w:r>
      <w:r w:rsidR="006514B9">
        <w:rPr>
          <w:rFonts w:ascii="Times New Roman" w:eastAsia="仿宋_GB2312" w:hAnsi="Times New Roman" w:cs="Times New Roman"/>
          <w:b/>
          <w:sz w:val="24"/>
          <w:szCs w:val="24"/>
        </w:rPr>
        <w:t>生活垃圾填埋场废气</w:t>
      </w:r>
      <w:r w:rsidR="000A1DC8">
        <w:rPr>
          <w:rFonts w:ascii="Times New Roman" w:eastAsia="仿宋_GB2312" w:hAnsi="Times New Roman" w:cs="Times New Roman" w:hint="eastAsia"/>
          <w:b/>
          <w:sz w:val="24"/>
          <w:szCs w:val="24"/>
        </w:rPr>
        <w:t>分区域</w:t>
      </w:r>
      <w:r w:rsidR="006514B9">
        <w:rPr>
          <w:rFonts w:ascii="Times New Roman" w:eastAsia="仿宋_GB2312" w:hAnsi="Times New Roman" w:cs="Times New Roman"/>
          <w:b/>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620"/>
        <w:gridCol w:w="623"/>
        <w:gridCol w:w="621"/>
        <w:gridCol w:w="619"/>
        <w:gridCol w:w="621"/>
        <w:gridCol w:w="619"/>
        <w:gridCol w:w="619"/>
        <w:gridCol w:w="621"/>
        <w:gridCol w:w="619"/>
        <w:gridCol w:w="621"/>
        <w:gridCol w:w="621"/>
        <w:gridCol w:w="617"/>
      </w:tblGrid>
      <w:tr w:rsidR="00D2042F" w:rsidRPr="0008129B" w14:paraId="59CB7FF2" w14:textId="2F4CF538" w:rsidTr="00384238">
        <w:trPr>
          <w:trHeight w:val="567"/>
          <w:jc w:val="center"/>
        </w:trPr>
        <w:tc>
          <w:tcPr>
            <w:tcW w:w="516" w:type="pct"/>
            <w:vAlign w:val="center"/>
          </w:tcPr>
          <w:p w14:paraId="7AE975BF" w14:textId="2D21F189"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设区市</w:t>
            </w:r>
          </w:p>
        </w:tc>
        <w:tc>
          <w:tcPr>
            <w:tcW w:w="374" w:type="pct"/>
            <w:shd w:val="clear" w:color="auto" w:fill="auto"/>
            <w:vAlign w:val="center"/>
          </w:tcPr>
          <w:p w14:paraId="773AF1A0"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杭州</w:t>
            </w:r>
          </w:p>
        </w:tc>
        <w:tc>
          <w:tcPr>
            <w:tcW w:w="376" w:type="pct"/>
            <w:shd w:val="clear" w:color="auto" w:fill="auto"/>
            <w:vAlign w:val="center"/>
          </w:tcPr>
          <w:p w14:paraId="2B5481DC"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宁波</w:t>
            </w:r>
          </w:p>
        </w:tc>
        <w:tc>
          <w:tcPr>
            <w:tcW w:w="374" w:type="pct"/>
            <w:shd w:val="clear" w:color="auto" w:fill="auto"/>
            <w:vAlign w:val="center"/>
          </w:tcPr>
          <w:p w14:paraId="64069CC7"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温州</w:t>
            </w:r>
          </w:p>
        </w:tc>
        <w:tc>
          <w:tcPr>
            <w:tcW w:w="373" w:type="pct"/>
            <w:shd w:val="clear" w:color="auto" w:fill="auto"/>
            <w:vAlign w:val="center"/>
          </w:tcPr>
          <w:p w14:paraId="6CB95F8C" w14:textId="1128563A"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湖州</w:t>
            </w:r>
          </w:p>
        </w:tc>
        <w:tc>
          <w:tcPr>
            <w:tcW w:w="374" w:type="pct"/>
            <w:shd w:val="clear" w:color="auto" w:fill="auto"/>
            <w:vAlign w:val="center"/>
          </w:tcPr>
          <w:p w14:paraId="1E937539" w14:textId="5380B72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嘉兴</w:t>
            </w:r>
          </w:p>
        </w:tc>
        <w:tc>
          <w:tcPr>
            <w:tcW w:w="373" w:type="pct"/>
            <w:shd w:val="clear" w:color="auto" w:fill="auto"/>
            <w:vAlign w:val="center"/>
          </w:tcPr>
          <w:p w14:paraId="1A04CCD3"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绍兴</w:t>
            </w:r>
          </w:p>
        </w:tc>
        <w:tc>
          <w:tcPr>
            <w:tcW w:w="373" w:type="pct"/>
            <w:shd w:val="clear" w:color="auto" w:fill="auto"/>
            <w:vAlign w:val="center"/>
          </w:tcPr>
          <w:p w14:paraId="45326835"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金华</w:t>
            </w:r>
          </w:p>
        </w:tc>
        <w:tc>
          <w:tcPr>
            <w:tcW w:w="374" w:type="pct"/>
            <w:shd w:val="clear" w:color="auto" w:fill="auto"/>
            <w:vAlign w:val="center"/>
          </w:tcPr>
          <w:p w14:paraId="39D4A3E1"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衢州</w:t>
            </w:r>
          </w:p>
        </w:tc>
        <w:tc>
          <w:tcPr>
            <w:tcW w:w="373" w:type="pct"/>
            <w:shd w:val="clear" w:color="auto" w:fill="auto"/>
            <w:vAlign w:val="center"/>
          </w:tcPr>
          <w:p w14:paraId="2D9FB46C"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舟山</w:t>
            </w:r>
          </w:p>
        </w:tc>
        <w:tc>
          <w:tcPr>
            <w:tcW w:w="374" w:type="pct"/>
            <w:shd w:val="clear" w:color="auto" w:fill="auto"/>
            <w:vAlign w:val="center"/>
          </w:tcPr>
          <w:p w14:paraId="62D96A39"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台州</w:t>
            </w:r>
          </w:p>
        </w:tc>
        <w:tc>
          <w:tcPr>
            <w:tcW w:w="374" w:type="pct"/>
            <w:shd w:val="clear" w:color="auto" w:fill="auto"/>
            <w:vAlign w:val="center"/>
          </w:tcPr>
          <w:p w14:paraId="49CD087D"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丽水</w:t>
            </w:r>
          </w:p>
        </w:tc>
        <w:tc>
          <w:tcPr>
            <w:tcW w:w="374" w:type="pct"/>
            <w:vAlign w:val="center"/>
          </w:tcPr>
          <w:p w14:paraId="3668336C" w14:textId="0067F2E5" w:rsidR="00D2042F" w:rsidRPr="00D2042F"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D2042F">
              <w:rPr>
                <w:rFonts w:ascii="Times New Roman" w:eastAsia="仿宋_GB2312" w:hAnsi="Times New Roman" w:cs="Times New Roman"/>
                <w:bCs/>
                <w:kern w:val="44"/>
                <w:sz w:val="22"/>
              </w:rPr>
              <w:t>全省</w:t>
            </w:r>
          </w:p>
        </w:tc>
      </w:tr>
      <w:tr w:rsidR="00D2042F" w:rsidRPr="0008129B" w14:paraId="74A1984B" w14:textId="5689740D" w:rsidTr="00384238">
        <w:trPr>
          <w:trHeight w:val="600"/>
          <w:jc w:val="center"/>
        </w:trPr>
        <w:tc>
          <w:tcPr>
            <w:tcW w:w="516" w:type="pct"/>
            <w:vAlign w:val="center"/>
          </w:tcPr>
          <w:p w14:paraId="0A3BE6D2"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4CC10717" w14:textId="3712B5CB"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（家）</w:t>
            </w:r>
          </w:p>
        </w:tc>
        <w:tc>
          <w:tcPr>
            <w:tcW w:w="374" w:type="pct"/>
            <w:shd w:val="clear" w:color="auto" w:fill="auto"/>
            <w:vAlign w:val="center"/>
          </w:tcPr>
          <w:p w14:paraId="057B791B" w14:textId="5FE9DCA9"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5</w:t>
            </w:r>
          </w:p>
        </w:tc>
        <w:tc>
          <w:tcPr>
            <w:tcW w:w="376" w:type="pct"/>
            <w:shd w:val="clear" w:color="auto" w:fill="auto"/>
            <w:vAlign w:val="center"/>
          </w:tcPr>
          <w:p w14:paraId="6CE1BBC6" w14:textId="0F803526"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7</w:t>
            </w:r>
          </w:p>
        </w:tc>
        <w:tc>
          <w:tcPr>
            <w:tcW w:w="374" w:type="pct"/>
            <w:shd w:val="clear" w:color="auto" w:fill="auto"/>
            <w:vAlign w:val="center"/>
          </w:tcPr>
          <w:p w14:paraId="2AED9943" w14:textId="1504F09D"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4</w:t>
            </w:r>
          </w:p>
        </w:tc>
        <w:tc>
          <w:tcPr>
            <w:tcW w:w="373" w:type="pct"/>
            <w:shd w:val="clear" w:color="auto" w:fill="auto"/>
            <w:vAlign w:val="center"/>
          </w:tcPr>
          <w:p w14:paraId="781D5C67" w14:textId="51EEB23A"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2</w:t>
            </w:r>
          </w:p>
        </w:tc>
        <w:tc>
          <w:tcPr>
            <w:tcW w:w="374" w:type="pct"/>
            <w:shd w:val="clear" w:color="auto" w:fill="auto"/>
            <w:vAlign w:val="center"/>
          </w:tcPr>
          <w:p w14:paraId="196EDD0C" w14:textId="7A612390"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p>
        </w:tc>
        <w:tc>
          <w:tcPr>
            <w:tcW w:w="373" w:type="pct"/>
            <w:shd w:val="clear" w:color="auto" w:fill="auto"/>
            <w:vAlign w:val="center"/>
          </w:tcPr>
          <w:p w14:paraId="4D22D220" w14:textId="2A0C3875"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6</w:t>
            </w:r>
          </w:p>
        </w:tc>
        <w:tc>
          <w:tcPr>
            <w:tcW w:w="373" w:type="pct"/>
            <w:shd w:val="clear" w:color="auto" w:fill="auto"/>
            <w:vAlign w:val="center"/>
          </w:tcPr>
          <w:p w14:paraId="4BE3FB61" w14:textId="2D17ED3A"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p>
        </w:tc>
        <w:tc>
          <w:tcPr>
            <w:tcW w:w="374" w:type="pct"/>
            <w:shd w:val="clear" w:color="auto" w:fill="auto"/>
            <w:vAlign w:val="center"/>
          </w:tcPr>
          <w:p w14:paraId="042F8558" w14:textId="6D5EE3E3"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p>
        </w:tc>
        <w:tc>
          <w:tcPr>
            <w:tcW w:w="373" w:type="pct"/>
            <w:shd w:val="clear" w:color="auto" w:fill="auto"/>
            <w:vAlign w:val="center"/>
          </w:tcPr>
          <w:p w14:paraId="2E1B30ED" w14:textId="4E336C8B"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2</w:t>
            </w:r>
          </w:p>
        </w:tc>
        <w:tc>
          <w:tcPr>
            <w:tcW w:w="374" w:type="pct"/>
            <w:shd w:val="clear" w:color="auto" w:fill="auto"/>
            <w:vAlign w:val="center"/>
          </w:tcPr>
          <w:p w14:paraId="6430B12A" w14:textId="5E1210BA"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3</w:t>
            </w:r>
          </w:p>
        </w:tc>
        <w:tc>
          <w:tcPr>
            <w:tcW w:w="374" w:type="pct"/>
            <w:shd w:val="clear" w:color="auto" w:fill="auto"/>
            <w:vAlign w:val="center"/>
          </w:tcPr>
          <w:p w14:paraId="3B097385" w14:textId="21199C5B"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8</w:t>
            </w:r>
          </w:p>
        </w:tc>
        <w:tc>
          <w:tcPr>
            <w:tcW w:w="374" w:type="pct"/>
            <w:vAlign w:val="center"/>
          </w:tcPr>
          <w:p w14:paraId="7235EAF0" w14:textId="54C5F911" w:rsidR="00D2042F" w:rsidRPr="00D2042F"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4</w:t>
            </w:r>
            <w:r>
              <w:rPr>
                <w:rFonts w:ascii="Times New Roman" w:hAnsi="Times New Roman" w:cs="Times New Roman"/>
                <w:sz w:val="22"/>
              </w:rPr>
              <w:t>0</w:t>
            </w:r>
          </w:p>
        </w:tc>
      </w:tr>
      <w:tr w:rsidR="00D2042F" w:rsidRPr="0008129B" w14:paraId="0A3F3AFF" w14:textId="1982FFB0" w:rsidTr="00384238">
        <w:trPr>
          <w:trHeight w:val="600"/>
          <w:jc w:val="center"/>
        </w:trPr>
        <w:tc>
          <w:tcPr>
            <w:tcW w:w="516" w:type="pct"/>
            <w:vAlign w:val="center"/>
          </w:tcPr>
          <w:p w14:paraId="63D50CBA"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5A66064F" w14:textId="7F562F8E"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74" w:type="pct"/>
            <w:shd w:val="clear" w:color="auto" w:fill="auto"/>
            <w:vAlign w:val="center"/>
          </w:tcPr>
          <w:p w14:paraId="3A7CC93E" w14:textId="62B0043C"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9</w:t>
            </w:r>
            <w:r>
              <w:rPr>
                <w:rFonts w:ascii="Times New Roman" w:hAnsi="Times New Roman" w:cs="Times New Roman"/>
                <w:sz w:val="22"/>
              </w:rPr>
              <w:t>5.0</w:t>
            </w:r>
          </w:p>
        </w:tc>
        <w:tc>
          <w:tcPr>
            <w:tcW w:w="376" w:type="pct"/>
            <w:shd w:val="clear" w:color="auto" w:fill="auto"/>
            <w:vAlign w:val="center"/>
          </w:tcPr>
          <w:p w14:paraId="60412983" w14:textId="1C87A59D"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4" w:type="pct"/>
            <w:shd w:val="clear" w:color="auto" w:fill="auto"/>
            <w:vAlign w:val="center"/>
          </w:tcPr>
          <w:p w14:paraId="3EE26633" w14:textId="7FB2E39F"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3" w:type="pct"/>
            <w:shd w:val="clear" w:color="auto" w:fill="auto"/>
            <w:vAlign w:val="center"/>
          </w:tcPr>
          <w:p w14:paraId="0E7783AE" w14:textId="271291DC"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4" w:type="pct"/>
            <w:shd w:val="clear" w:color="auto" w:fill="auto"/>
            <w:vAlign w:val="center"/>
          </w:tcPr>
          <w:p w14:paraId="1A0352D3" w14:textId="138EA81B"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3" w:type="pct"/>
            <w:shd w:val="clear" w:color="auto" w:fill="auto"/>
            <w:vAlign w:val="center"/>
          </w:tcPr>
          <w:p w14:paraId="0C8D2D5D" w14:textId="6399FD4C"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3" w:type="pct"/>
            <w:shd w:val="clear" w:color="auto" w:fill="auto"/>
            <w:vAlign w:val="center"/>
          </w:tcPr>
          <w:p w14:paraId="1F1211EB" w14:textId="5E14E7CF"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4" w:type="pct"/>
            <w:shd w:val="clear" w:color="auto" w:fill="auto"/>
            <w:vAlign w:val="center"/>
          </w:tcPr>
          <w:p w14:paraId="134622A4" w14:textId="1C4F3013"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3" w:type="pct"/>
            <w:shd w:val="clear" w:color="auto" w:fill="auto"/>
            <w:vAlign w:val="center"/>
          </w:tcPr>
          <w:p w14:paraId="04AB9EE3" w14:textId="6DD2050B"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4" w:type="pct"/>
            <w:shd w:val="clear" w:color="auto" w:fill="auto"/>
            <w:vAlign w:val="center"/>
          </w:tcPr>
          <w:p w14:paraId="46FB0B82" w14:textId="6C1B0B89"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4" w:type="pct"/>
            <w:shd w:val="clear" w:color="auto" w:fill="auto"/>
            <w:vAlign w:val="center"/>
          </w:tcPr>
          <w:p w14:paraId="27F5580A" w14:textId="07B2F649" w:rsidR="00D2042F" w:rsidRPr="0008129B"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00</w:t>
            </w:r>
          </w:p>
        </w:tc>
        <w:tc>
          <w:tcPr>
            <w:tcW w:w="374" w:type="pct"/>
            <w:vAlign w:val="center"/>
          </w:tcPr>
          <w:p w14:paraId="5197B836" w14:textId="4C7BC594" w:rsidR="00D2042F" w:rsidRPr="00D2042F" w:rsidRDefault="00107E43"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9</w:t>
            </w:r>
            <w:r>
              <w:rPr>
                <w:rFonts w:ascii="Times New Roman" w:hAnsi="Times New Roman" w:cs="Times New Roman"/>
                <w:sz w:val="22"/>
              </w:rPr>
              <w:t>9.4</w:t>
            </w:r>
          </w:p>
        </w:tc>
      </w:tr>
    </w:tbl>
    <w:p w14:paraId="0C74C2AF" w14:textId="1DD6A2FB" w:rsidR="002E231D" w:rsidRPr="00F70D6C" w:rsidRDefault="000A1DC8" w:rsidP="00F70D6C">
      <w:pPr>
        <w:spacing w:line="56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bCs/>
          <w:kern w:val="44"/>
          <w:sz w:val="28"/>
          <w:szCs w:val="28"/>
        </w:rPr>
        <w:t>存在超标的</w:t>
      </w:r>
      <w:r>
        <w:rPr>
          <w:rFonts w:ascii="Times New Roman" w:eastAsia="仿宋_GB2312" w:hAnsi="Times New Roman" w:cs="Times New Roman" w:hint="eastAsia"/>
          <w:bCs/>
          <w:kern w:val="44"/>
          <w:sz w:val="28"/>
          <w:szCs w:val="28"/>
        </w:rPr>
        <w:t>单位</w:t>
      </w:r>
      <w:r w:rsidR="004F19D9" w:rsidRPr="00F70D6C">
        <w:rPr>
          <w:rFonts w:ascii="Times New Roman" w:eastAsia="仿宋_GB2312" w:hAnsi="Times New Roman" w:cs="Times New Roman"/>
          <w:bCs/>
          <w:kern w:val="44"/>
          <w:sz w:val="28"/>
          <w:szCs w:val="28"/>
        </w:rPr>
        <w:t>共</w:t>
      </w:r>
      <w:r w:rsidR="0074632D">
        <w:rPr>
          <w:rFonts w:ascii="Times New Roman" w:eastAsia="仿宋_GB2312" w:hAnsi="Times New Roman" w:cs="Times New Roman"/>
          <w:bCs/>
          <w:kern w:val="44"/>
          <w:sz w:val="28"/>
          <w:szCs w:val="28"/>
        </w:rPr>
        <w:t>1</w:t>
      </w:r>
      <w:r w:rsidR="004F19D9" w:rsidRPr="00F70D6C">
        <w:rPr>
          <w:rFonts w:ascii="Times New Roman" w:eastAsia="仿宋_GB2312" w:hAnsi="Times New Roman" w:cs="Times New Roman"/>
          <w:bCs/>
          <w:kern w:val="44"/>
          <w:sz w:val="28"/>
          <w:szCs w:val="28"/>
        </w:rPr>
        <w:t>家，位于</w:t>
      </w:r>
      <w:r w:rsidR="004F19D9" w:rsidRPr="00F70D6C">
        <w:rPr>
          <w:rFonts w:ascii="Times New Roman" w:eastAsia="仿宋_GB2312" w:hAnsi="Times New Roman" w:cs="Times New Roman" w:hint="eastAsia"/>
          <w:bCs/>
          <w:kern w:val="44"/>
          <w:sz w:val="28"/>
          <w:szCs w:val="28"/>
        </w:rPr>
        <w:t>杭州</w:t>
      </w:r>
      <w:r w:rsidR="004F19D9" w:rsidRPr="00F70D6C">
        <w:rPr>
          <w:rFonts w:ascii="Times New Roman" w:eastAsia="仿宋_GB2312" w:hAnsi="Times New Roman" w:cs="Times New Roman"/>
          <w:bCs/>
          <w:kern w:val="44"/>
          <w:sz w:val="28"/>
          <w:szCs w:val="28"/>
        </w:rPr>
        <w:t>，超标指标</w:t>
      </w:r>
      <w:r w:rsidR="004F19D9" w:rsidRPr="00F70D6C">
        <w:rPr>
          <w:rFonts w:ascii="Times New Roman" w:eastAsia="仿宋_GB2312" w:hAnsi="Times New Roman" w:cs="Times New Roman" w:hint="eastAsia"/>
          <w:bCs/>
          <w:kern w:val="44"/>
          <w:sz w:val="28"/>
          <w:szCs w:val="28"/>
        </w:rPr>
        <w:t>为甲烷</w:t>
      </w:r>
      <w:r w:rsidR="004F19D9" w:rsidRPr="00F70D6C">
        <w:rPr>
          <w:rFonts w:ascii="Times New Roman" w:eastAsia="仿宋_GB2312" w:hAnsi="Times New Roman" w:cs="Times New Roman"/>
          <w:bCs/>
          <w:kern w:val="44"/>
          <w:sz w:val="28"/>
          <w:szCs w:val="28"/>
        </w:rPr>
        <w:t>。</w:t>
      </w:r>
    </w:p>
    <w:p w14:paraId="765D5E21" w14:textId="615F239E" w:rsidR="00A53C09" w:rsidRPr="00317502" w:rsidRDefault="00A53C09" w:rsidP="001B765A">
      <w:pPr>
        <w:spacing w:beforeLines="20" w:before="62" w:afterLines="20" w:after="62" w:line="560" w:lineRule="exact"/>
        <w:ind w:firstLineChars="200" w:firstLine="562"/>
        <w:outlineLvl w:val="1"/>
        <w:rPr>
          <w:rFonts w:ascii="仿宋" w:eastAsia="仿宋" w:hAnsi="仿宋" w:cs="Times New Roman"/>
          <w:b/>
          <w:bCs/>
          <w:kern w:val="44"/>
          <w:sz w:val="28"/>
          <w:szCs w:val="28"/>
        </w:rPr>
      </w:pPr>
      <w:bookmarkStart w:id="9" w:name="_Toc126401600"/>
      <w:r w:rsidRPr="00317502">
        <w:rPr>
          <w:rFonts w:ascii="仿宋" w:eastAsia="仿宋" w:hAnsi="仿宋" w:cs="Times New Roman" w:hint="eastAsia"/>
          <w:b/>
          <w:bCs/>
          <w:kern w:val="44"/>
          <w:sz w:val="28"/>
          <w:szCs w:val="28"/>
        </w:rPr>
        <w:t>（</w:t>
      </w:r>
      <w:r w:rsidR="00317502" w:rsidRPr="00317502">
        <w:rPr>
          <w:rFonts w:ascii="仿宋" w:eastAsia="仿宋" w:hAnsi="仿宋" w:cs="Times New Roman" w:hint="eastAsia"/>
          <w:b/>
          <w:bCs/>
          <w:kern w:val="44"/>
          <w:sz w:val="28"/>
          <w:szCs w:val="28"/>
        </w:rPr>
        <w:t>七</w:t>
      </w:r>
      <w:r w:rsidRPr="00317502">
        <w:rPr>
          <w:rFonts w:ascii="仿宋" w:eastAsia="仿宋" w:hAnsi="仿宋" w:cs="Times New Roman" w:hint="eastAsia"/>
          <w:b/>
          <w:bCs/>
          <w:kern w:val="44"/>
          <w:sz w:val="28"/>
          <w:szCs w:val="28"/>
        </w:rPr>
        <w:t>）尾矿库</w:t>
      </w:r>
      <w:bookmarkEnd w:id="9"/>
    </w:p>
    <w:p w14:paraId="20FD4433" w14:textId="51806FD2" w:rsidR="00A062F8" w:rsidRPr="00F70D6C" w:rsidRDefault="00317502"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hint="eastAsia"/>
          <w:bCs/>
          <w:kern w:val="44"/>
          <w:sz w:val="28"/>
          <w:szCs w:val="28"/>
        </w:rPr>
        <w:t>1</w:t>
      </w:r>
      <w:r w:rsidR="00F70D6C">
        <w:rPr>
          <w:rFonts w:ascii="Times New Roman" w:eastAsia="仿宋_GB2312" w:hAnsi="Times New Roman" w:cs="Times New Roman" w:hint="eastAsia"/>
          <w:bCs/>
          <w:kern w:val="44"/>
          <w:sz w:val="28"/>
          <w:szCs w:val="28"/>
        </w:rPr>
        <w:t>.</w:t>
      </w:r>
      <w:r w:rsidR="00A062F8" w:rsidRPr="00F70D6C">
        <w:rPr>
          <w:rFonts w:ascii="Times New Roman" w:eastAsia="仿宋_GB2312" w:hAnsi="Times New Roman" w:cs="Times New Roman"/>
          <w:bCs/>
          <w:kern w:val="44"/>
          <w:sz w:val="28"/>
          <w:szCs w:val="28"/>
        </w:rPr>
        <w:t>达标情况</w:t>
      </w:r>
    </w:p>
    <w:p w14:paraId="2D271FE0" w14:textId="471420D3" w:rsidR="0093735E" w:rsidRPr="00707672" w:rsidRDefault="00276B76" w:rsidP="00707672">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hint="eastAsia"/>
          <w:bCs/>
          <w:kern w:val="44"/>
          <w:sz w:val="28"/>
          <w:szCs w:val="28"/>
        </w:rPr>
        <w:t>纳入</w:t>
      </w:r>
      <w:r w:rsidR="007255C4" w:rsidRPr="00F70D6C">
        <w:rPr>
          <w:rFonts w:ascii="Times New Roman" w:eastAsia="仿宋_GB2312" w:hAnsi="Times New Roman" w:cs="Times New Roman"/>
          <w:bCs/>
          <w:kern w:val="44"/>
          <w:sz w:val="28"/>
          <w:szCs w:val="28"/>
        </w:rPr>
        <w:t>全省</w:t>
      </w:r>
      <w:r w:rsidRPr="00F70D6C">
        <w:rPr>
          <w:rFonts w:ascii="Times New Roman" w:eastAsia="仿宋_GB2312" w:hAnsi="Times New Roman" w:cs="Times New Roman" w:hint="eastAsia"/>
          <w:bCs/>
          <w:kern w:val="44"/>
          <w:sz w:val="28"/>
          <w:szCs w:val="28"/>
        </w:rPr>
        <w:t>尾矿库监管清单的共</w:t>
      </w:r>
      <w:r w:rsidRPr="00F70D6C">
        <w:rPr>
          <w:rFonts w:ascii="Times New Roman" w:eastAsia="仿宋_GB2312" w:hAnsi="Times New Roman" w:cs="Times New Roman" w:hint="eastAsia"/>
          <w:bCs/>
          <w:kern w:val="44"/>
          <w:sz w:val="28"/>
          <w:szCs w:val="28"/>
        </w:rPr>
        <w:t>4</w:t>
      </w:r>
      <w:r w:rsidRPr="00F70D6C">
        <w:rPr>
          <w:rFonts w:ascii="Times New Roman" w:eastAsia="仿宋_GB2312" w:hAnsi="Times New Roman" w:cs="Times New Roman"/>
          <w:bCs/>
          <w:kern w:val="44"/>
          <w:sz w:val="28"/>
          <w:szCs w:val="28"/>
        </w:rPr>
        <w:t>5</w:t>
      </w:r>
      <w:r w:rsidR="00DC3081" w:rsidRPr="00F70D6C">
        <w:rPr>
          <w:rFonts w:ascii="Times New Roman" w:eastAsia="仿宋_GB2312" w:hAnsi="Times New Roman" w:cs="Times New Roman" w:hint="eastAsia"/>
          <w:bCs/>
          <w:kern w:val="44"/>
          <w:sz w:val="28"/>
          <w:szCs w:val="28"/>
        </w:rPr>
        <w:t>座</w:t>
      </w:r>
      <w:r w:rsidRPr="00F70D6C">
        <w:rPr>
          <w:rFonts w:ascii="Times New Roman" w:eastAsia="仿宋_GB2312" w:hAnsi="Times New Roman" w:cs="Times New Roman" w:hint="eastAsia"/>
          <w:bCs/>
          <w:kern w:val="44"/>
          <w:sz w:val="28"/>
          <w:szCs w:val="28"/>
        </w:rPr>
        <w:t>，涉及</w:t>
      </w:r>
      <w:r w:rsidRPr="00F70D6C">
        <w:rPr>
          <w:rFonts w:ascii="Times New Roman" w:eastAsia="仿宋_GB2312" w:hAnsi="Times New Roman" w:cs="Times New Roman" w:hint="eastAsia"/>
          <w:bCs/>
          <w:kern w:val="44"/>
          <w:sz w:val="28"/>
          <w:szCs w:val="28"/>
        </w:rPr>
        <w:t>7</w:t>
      </w:r>
      <w:r w:rsidRPr="00F70D6C">
        <w:rPr>
          <w:rFonts w:ascii="Times New Roman" w:eastAsia="仿宋_GB2312" w:hAnsi="Times New Roman" w:cs="Times New Roman" w:hint="eastAsia"/>
          <w:bCs/>
          <w:kern w:val="44"/>
          <w:sz w:val="28"/>
          <w:szCs w:val="28"/>
        </w:rPr>
        <w:t>个设区市。</w:t>
      </w:r>
      <w:r w:rsidRPr="00F70D6C">
        <w:rPr>
          <w:rFonts w:ascii="Times New Roman" w:eastAsia="仿宋_GB2312" w:hAnsi="Times New Roman" w:cs="Times New Roman" w:hint="eastAsia"/>
          <w:bCs/>
          <w:kern w:val="44"/>
          <w:sz w:val="28"/>
          <w:szCs w:val="28"/>
        </w:rPr>
        <w:t>2</w:t>
      </w:r>
      <w:r w:rsidR="00E13467">
        <w:rPr>
          <w:rFonts w:ascii="Times New Roman" w:eastAsia="仿宋_GB2312" w:hAnsi="Times New Roman" w:cs="Times New Roman"/>
          <w:bCs/>
          <w:kern w:val="44"/>
          <w:sz w:val="28"/>
          <w:szCs w:val="28"/>
        </w:rPr>
        <w:t>023</w:t>
      </w:r>
      <w:r w:rsidRPr="00F70D6C">
        <w:rPr>
          <w:rFonts w:ascii="Times New Roman" w:eastAsia="仿宋_GB2312" w:hAnsi="Times New Roman" w:cs="Times New Roman" w:hint="eastAsia"/>
          <w:bCs/>
          <w:kern w:val="44"/>
          <w:sz w:val="28"/>
          <w:szCs w:val="28"/>
        </w:rPr>
        <w:t>年共对</w:t>
      </w:r>
      <w:r w:rsidRPr="00F70D6C">
        <w:rPr>
          <w:rFonts w:ascii="Times New Roman" w:eastAsia="仿宋_GB2312" w:hAnsi="Times New Roman" w:cs="Times New Roman" w:hint="eastAsia"/>
          <w:bCs/>
          <w:kern w:val="44"/>
          <w:sz w:val="28"/>
          <w:szCs w:val="28"/>
        </w:rPr>
        <w:t>5</w:t>
      </w:r>
      <w:r w:rsidRPr="00F70D6C">
        <w:rPr>
          <w:rFonts w:ascii="Times New Roman" w:eastAsia="仿宋_GB2312" w:hAnsi="Times New Roman" w:cs="Times New Roman" w:hint="eastAsia"/>
          <w:bCs/>
          <w:kern w:val="44"/>
          <w:sz w:val="28"/>
          <w:szCs w:val="28"/>
        </w:rPr>
        <w:t>个地市</w:t>
      </w:r>
      <w:r w:rsidR="00A062F8" w:rsidRPr="00F70D6C">
        <w:rPr>
          <w:rFonts w:ascii="Times New Roman" w:eastAsia="仿宋_GB2312" w:hAnsi="Times New Roman" w:cs="Times New Roman"/>
          <w:bCs/>
          <w:kern w:val="44"/>
          <w:sz w:val="28"/>
          <w:szCs w:val="28"/>
        </w:rPr>
        <w:t>2</w:t>
      </w:r>
      <w:r w:rsidR="00E13467">
        <w:rPr>
          <w:rFonts w:ascii="Times New Roman" w:eastAsia="仿宋_GB2312" w:hAnsi="Times New Roman" w:cs="Times New Roman"/>
          <w:bCs/>
          <w:kern w:val="44"/>
          <w:sz w:val="28"/>
          <w:szCs w:val="28"/>
        </w:rPr>
        <w:t>0</w:t>
      </w:r>
      <w:r w:rsidR="00DC3081" w:rsidRPr="00F70D6C">
        <w:rPr>
          <w:rFonts w:ascii="Times New Roman" w:eastAsia="仿宋_GB2312" w:hAnsi="Times New Roman" w:cs="Times New Roman" w:hint="eastAsia"/>
          <w:bCs/>
          <w:kern w:val="44"/>
          <w:sz w:val="28"/>
          <w:szCs w:val="28"/>
        </w:rPr>
        <w:t>座</w:t>
      </w:r>
      <w:r w:rsidRPr="00F70D6C">
        <w:rPr>
          <w:rFonts w:ascii="Times New Roman" w:eastAsia="仿宋_GB2312" w:hAnsi="Times New Roman" w:cs="Times New Roman" w:hint="eastAsia"/>
          <w:bCs/>
          <w:kern w:val="44"/>
          <w:sz w:val="28"/>
          <w:szCs w:val="28"/>
        </w:rPr>
        <w:t>尾矿库尾水排放开展了监测，</w:t>
      </w:r>
      <w:r w:rsidR="00C9719D" w:rsidRPr="00F70D6C">
        <w:rPr>
          <w:rFonts w:ascii="Times New Roman" w:eastAsia="仿宋_GB2312" w:hAnsi="Times New Roman" w:cs="Times New Roman" w:hint="eastAsia"/>
          <w:bCs/>
          <w:kern w:val="44"/>
          <w:sz w:val="28"/>
          <w:szCs w:val="28"/>
        </w:rPr>
        <w:t>达标率为</w:t>
      </w:r>
      <w:r w:rsidR="00E13467">
        <w:rPr>
          <w:rFonts w:ascii="Times New Roman" w:eastAsia="仿宋_GB2312" w:hAnsi="Times New Roman" w:cs="Times New Roman"/>
          <w:bCs/>
          <w:kern w:val="44"/>
          <w:sz w:val="28"/>
          <w:szCs w:val="28"/>
        </w:rPr>
        <w:t>95.0</w:t>
      </w:r>
      <w:r w:rsidR="00C9719D" w:rsidRPr="00F70D6C">
        <w:rPr>
          <w:rFonts w:ascii="Times New Roman" w:eastAsia="仿宋_GB2312" w:hAnsi="Times New Roman" w:cs="Times New Roman"/>
          <w:bCs/>
          <w:kern w:val="44"/>
          <w:sz w:val="28"/>
          <w:szCs w:val="28"/>
        </w:rPr>
        <w:t>%</w:t>
      </w:r>
      <w:r w:rsidR="00A062F8" w:rsidRPr="00F70D6C">
        <w:rPr>
          <w:rFonts w:ascii="Times New Roman" w:eastAsia="仿宋_GB2312" w:hAnsi="Times New Roman" w:cs="Times New Roman" w:hint="eastAsia"/>
          <w:bCs/>
          <w:kern w:val="44"/>
          <w:sz w:val="28"/>
          <w:szCs w:val="28"/>
        </w:rPr>
        <w:t>，较上年</w:t>
      </w:r>
      <w:r w:rsidR="00E13467">
        <w:rPr>
          <w:rFonts w:ascii="Times New Roman" w:eastAsia="仿宋_GB2312" w:hAnsi="Times New Roman" w:cs="Times New Roman" w:hint="eastAsia"/>
          <w:bCs/>
          <w:kern w:val="44"/>
          <w:sz w:val="28"/>
          <w:szCs w:val="28"/>
        </w:rPr>
        <w:t>上升</w:t>
      </w:r>
      <w:r w:rsidR="00E13467">
        <w:rPr>
          <w:rFonts w:ascii="Times New Roman" w:eastAsia="仿宋_GB2312" w:hAnsi="Times New Roman" w:cs="Times New Roman" w:hint="eastAsia"/>
          <w:bCs/>
          <w:kern w:val="44"/>
          <w:sz w:val="28"/>
          <w:szCs w:val="28"/>
        </w:rPr>
        <w:t>4</w:t>
      </w:r>
      <w:r w:rsidR="00A062F8" w:rsidRPr="00F70D6C">
        <w:rPr>
          <w:rFonts w:ascii="Times New Roman" w:eastAsia="仿宋_GB2312" w:hAnsi="Times New Roman" w:cs="Times New Roman"/>
          <w:bCs/>
          <w:kern w:val="44"/>
          <w:sz w:val="28"/>
          <w:szCs w:val="28"/>
        </w:rPr>
        <w:t>.5</w:t>
      </w:r>
      <w:r w:rsidR="00A062F8" w:rsidRPr="00F70D6C">
        <w:rPr>
          <w:rFonts w:ascii="Times New Roman" w:eastAsia="仿宋_GB2312" w:hAnsi="Times New Roman" w:cs="Times New Roman" w:hint="eastAsia"/>
          <w:bCs/>
          <w:kern w:val="44"/>
          <w:sz w:val="28"/>
          <w:szCs w:val="28"/>
        </w:rPr>
        <w:t>个百分点</w:t>
      </w:r>
      <w:r w:rsidR="00C9719D" w:rsidRPr="00F70D6C">
        <w:rPr>
          <w:rFonts w:ascii="Times New Roman" w:eastAsia="仿宋_GB2312" w:hAnsi="Times New Roman" w:cs="Times New Roman" w:hint="eastAsia"/>
          <w:bCs/>
          <w:kern w:val="44"/>
          <w:sz w:val="28"/>
          <w:szCs w:val="28"/>
        </w:rPr>
        <w:t>。</w:t>
      </w:r>
      <w:r w:rsidRPr="00F70D6C">
        <w:rPr>
          <w:rFonts w:ascii="Times New Roman" w:eastAsia="仿宋_GB2312" w:hAnsi="Times New Roman" w:cs="Times New Roman" w:hint="eastAsia"/>
          <w:bCs/>
          <w:kern w:val="44"/>
          <w:sz w:val="28"/>
          <w:szCs w:val="28"/>
        </w:rPr>
        <w:t>其余</w:t>
      </w:r>
      <w:r w:rsidRPr="00F70D6C">
        <w:rPr>
          <w:rFonts w:ascii="Times New Roman" w:eastAsia="仿宋_GB2312" w:hAnsi="Times New Roman" w:cs="Times New Roman" w:hint="eastAsia"/>
          <w:bCs/>
          <w:kern w:val="44"/>
          <w:sz w:val="28"/>
          <w:szCs w:val="28"/>
        </w:rPr>
        <w:t>2</w:t>
      </w:r>
      <w:r w:rsidR="009643D9">
        <w:rPr>
          <w:rFonts w:ascii="Times New Roman" w:eastAsia="仿宋_GB2312" w:hAnsi="Times New Roman" w:cs="Times New Roman"/>
          <w:bCs/>
          <w:kern w:val="44"/>
          <w:sz w:val="28"/>
          <w:szCs w:val="28"/>
        </w:rPr>
        <w:t>5</w:t>
      </w:r>
      <w:r w:rsidR="00DC3081" w:rsidRPr="00F70D6C">
        <w:rPr>
          <w:rFonts w:ascii="Times New Roman" w:eastAsia="仿宋_GB2312" w:hAnsi="Times New Roman" w:cs="Times New Roman" w:hint="eastAsia"/>
          <w:bCs/>
          <w:kern w:val="44"/>
          <w:sz w:val="28"/>
          <w:szCs w:val="28"/>
        </w:rPr>
        <w:t>座</w:t>
      </w:r>
      <w:r w:rsidR="005803D7" w:rsidRPr="00F70D6C">
        <w:rPr>
          <w:rFonts w:ascii="Times New Roman" w:eastAsia="仿宋_GB2312" w:hAnsi="Times New Roman" w:cs="Times New Roman" w:hint="eastAsia"/>
          <w:bCs/>
          <w:kern w:val="44"/>
          <w:sz w:val="28"/>
          <w:szCs w:val="28"/>
        </w:rPr>
        <w:t>因废水不外排、停用、闭库</w:t>
      </w:r>
      <w:r w:rsidR="00A062F8" w:rsidRPr="00F70D6C">
        <w:rPr>
          <w:rFonts w:ascii="Times New Roman" w:eastAsia="仿宋_GB2312" w:hAnsi="Times New Roman" w:cs="Times New Roman" w:hint="eastAsia"/>
          <w:bCs/>
          <w:kern w:val="44"/>
          <w:sz w:val="28"/>
          <w:szCs w:val="28"/>
        </w:rPr>
        <w:t>、不具备监测条件</w:t>
      </w:r>
      <w:r w:rsidR="005803D7" w:rsidRPr="00F70D6C">
        <w:rPr>
          <w:rFonts w:ascii="Times New Roman" w:eastAsia="仿宋_GB2312" w:hAnsi="Times New Roman" w:cs="Times New Roman" w:hint="eastAsia"/>
          <w:bCs/>
          <w:kern w:val="44"/>
          <w:sz w:val="28"/>
          <w:szCs w:val="28"/>
        </w:rPr>
        <w:t>等原因未开展监测。</w:t>
      </w:r>
    </w:p>
    <w:p w14:paraId="3E4B6943" w14:textId="77777777" w:rsidR="0070425E" w:rsidRDefault="0070425E" w:rsidP="00630A51">
      <w:pPr>
        <w:spacing w:line="560" w:lineRule="exact"/>
        <w:jc w:val="center"/>
        <w:rPr>
          <w:rFonts w:ascii="Times New Roman" w:eastAsia="仿宋_GB2312" w:hAnsi="Times New Roman" w:cs="Times New Roman"/>
          <w:b/>
          <w:sz w:val="24"/>
          <w:szCs w:val="24"/>
        </w:rPr>
      </w:pPr>
    </w:p>
    <w:p w14:paraId="1B36D62B" w14:textId="703BB994" w:rsidR="007255C4" w:rsidRPr="00E95B6F" w:rsidRDefault="007255C4" w:rsidP="00630A51">
      <w:pPr>
        <w:spacing w:line="56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lastRenderedPageBreak/>
        <w:t>表</w:t>
      </w:r>
      <w:r w:rsidR="00C9719D">
        <w:rPr>
          <w:rFonts w:ascii="Times New Roman" w:eastAsia="仿宋_GB2312" w:hAnsi="Times New Roman" w:cs="Times New Roman"/>
          <w:b/>
          <w:sz w:val="24"/>
          <w:szCs w:val="24"/>
        </w:rPr>
        <w:t>1</w:t>
      </w:r>
      <w:r w:rsidR="008E2F43">
        <w:rPr>
          <w:rFonts w:ascii="Times New Roman" w:eastAsia="仿宋_GB2312" w:hAnsi="Times New Roman" w:cs="Times New Roman"/>
          <w:b/>
          <w:sz w:val="24"/>
          <w:szCs w:val="24"/>
        </w:rPr>
        <w:t>4</w:t>
      </w:r>
      <w:r w:rsidRPr="00E95B6F">
        <w:rPr>
          <w:rFonts w:ascii="Times New Roman" w:eastAsia="仿宋_GB2312" w:hAnsi="Times New Roman" w:cs="Times New Roman"/>
          <w:b/>
          <w:sz w:val="24"/>
          <w:szCs w:val="24"/>
        </w:rPr>
        <w:t xml:space="preserve">    </w:t>
      </w:r>
      <w:r w:rsidR="00C9719D">
        <w:rPr>
          <w:rFonts w:ascii="Times New Roman" w:eastAsia="仿宋_GB2312" w:hAnsi="Times New Roman" w:cs="Times New Roman" w:hint="eastAsia"/>
          <w:b/>
          <w:sz w:val="24"/>
          <w:szCs w:val="24"/>
        </w:rPr>
        <w:t>尾矿库尾水</w:t>
      </w:r>
      <w:r w:rsidR="000A1DC8">
        <w:rPr>
          <w:rFonts w:ascii="Times New Roman" w:eastAsia="仿宋_GB2312" w:hAnsi="Times New Roman" w:cs="Times New Roman" w:hint="eastAsia"/>
          <w:b/>
          <w:sz w:val="24"/>
          <w:szCs w:val="24"/>
        </w:rPr>
        <w:t>分区域</w:t>
      </w:r>
      <w:r w:rsidR="00A555E1">
        <w:rPr>
          <w:rFonts w:ascii="Times New Roman" w:eastAsia="仿宋_GB2312" w:hAnsi="Times New Roman" w:cs="Times New Roman"/>
          <w:b/>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622"/>
        <w:gridCol w:w="623"/>
        <w:gridCol w:w="622"/>
        <w:gridCol w:w="622"/>
        <w:gridCol w:w="622"/>
        <w:gridCol w:w="622"/>
        <w:gridCol w:w="622"/>
        <w:gridCol w:w="622"/>
        <w:gridCol w:w="622"/>
        <w:gridCol w:w="622"/>
        <w:gridCol w:w="619"/>
        <w:gridCol w:w="614"/>
      </w:tblGrid>
      <w:tr w:rsidR="00D2042F" w:rsidRPr="0008129B" w14:paraId="423404C3" w14:textId="4B33223C" w:rsidTr="00384238">
        <w:trPr>
          <w:trHeight w:val="567"/>
          <w:jc w:val="center"/>
        </w:trPr>
        <w:tc>
          <w:tcPr>
            <w:tcW w:w="507" w:type="pct"/>
            <w:vAlign w:val="center"/>
          </w:tcPr>
          <w:p w14:paraId="0D4C5F47" w14:textId="0F3CA324"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设区市</w:t>
            </w:r>
          </w:p>
        </w:tc>
        <w:tc>
          <w:tcPr>
            <w:tcW w:w="374" w:type="pct"/>
            <w:shd w:val="clear" w:color="auto" w:fill="auto"/>
            <w:vAlign w:val="center"/>
          </w:tcPr>
          <w:p w14:paraId="2B618845"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杭州</w:t>
            </w:r>
          </w:p>
        </w:tc>
        <w:tc>
          <w:tcPr>
            <w:tcW w:w="375" w:type="pct"/>
            <w:shd w:val="clear" w:color="auto" w:fill="auto"/>
            <w:vAlign w:val="center"/>
          </w:tcPr>
          <w:p w14:paraId="57B57DB5"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宁波</w:t>
            </w:r>
          </w:p>
        </w:tc>
        <w:tc>
          <w:tcPr>
            <w:tcW w:w="375" w:type="pct"/>
            <w:shd w:val="clear" w:color="auto" w:fill="auto"/>
            <w:vAlign w:val="center"/>
          </w:tcPr>
          <w:p w14:paraId="68A45CE5"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温州</w:t>
            </w:r>
          </w:p>
        </w:tc>
        <w:tc>
          <w:tcPr>
            <w:tcW w:w="375" w:type="pct"/>
            <w:shd w:val="clear" w:color="auto" w:fill="auto"/>
            <w:vAlign w:val="center"/>
          </w:tcPr>
          <w:p w14:paraId="048CBCB9"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嘉兴</w:t>
            </w:r>
          </w:p>
        </w:tc>
        <w:tc>
          <w:tcPr>
            <w:tcW w:w="375" w:type="pct"/>
            <w:shd w:val="clear" w:color="auto" w:fill="auto"/>
            <w:vAlign w:val="center"/>
          </w:tcPr>
          <w:p w14:paraId="2630BE87"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湖州</w:t>
            </w:r>
          </w:p>
        </w:tc>
        <w:tc>
          <w:tcPr>
            <w:tcW w:w="375" w:type="pct"/>
            <w:shd w:val="clear" w:color="auto" w:fill="auto"/>
            <w:vAlign w:val="center"/>
          </w:tcPr>
          <w:p w14:paraId="370A1929"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绍兴</w:t>
            </w:r>
          </w:p>
        </w:tc>
        <w:tc>
          <w:tcPr>
            <w:tcW w:w="375" w:type="pct"/>
            <w:shd w:val="clear" w:color="auto" w:fill="auto"/>
            <w:vAlign w:val="center"/>
          </w:tcPr>
          <w:p w14:paraId="197404C0"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金华</w:t>
            </w:r>
          </w:p>
        </w:tc>
        <w:tc>
          <w:tcPr>
            <w:tcW w:w="375" w:type="pct"/>
            <w:shd w:val="clear" w:color="auto" w:fill="auto"/>
            <w:vAlign w:val="center"/>
          </w:tcPr>
          <w:p w14:paraId="12E6FED6"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衢州</w:t>
            </w:r>
          </w:p>
        </w:tc>
        <w:tc>
          <w:tcPr>
            <w:tcW w:w="375" w:type="pct"/>
            <w:shd w:val="clear" w:color="auto" w:fill="auto"/>
            <w:vAlign w:val="center"/>
          </w:tcPr>
          <w:p w14:paraId="42CB1D5A"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舟山</w:t>
            </w:r>
          </w:p>
        </w:tc>
        <w:tc>
          <w:tcPr>
            <w:tcW w:w="375" w:type="pct"/>
            <w:shd w:val="clear" w:color="auto" w:fill="auto"/>
            <w:vAlign w:val="center"/>
          </w:tcPr>
          <w:p w14:paraId="0531D5B9"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台州</w:t>
            </w:r>
          </w:p>
        </w:tc>
        <w:tc>
          <w:tcPr>
            <w:tcW w:w="373" w:type="pct"/>
            <w:shd w:val="clear" w:color="auto" w:fill="auto"/>
            <w:vAlign w:val="center"/>
          </w:tcPr>
          <w:p w14:paraId="63E0CD62"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丽水</w:t>
            </w:r>
          </w:p>
        </w:tc>
        <w:tc>
          <w:tcPr>
            <w:tcW w:w="370" w:type="pct"/>
            <w:vAlign w:val="center"/>
          </w:tcPr>
          <w:p w14:paraId="03B53BC1" w14:textId="233A2D73" w:rsidR="00D2042F" w:rsidRPr="00D2042F"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D2042F">
              <w:rPr>
                <w:rFonts w:ascii="Times New Roman" w:eastAsia="仿宋_GB2312" w:hAnsi="Times New Roman" w:cs="Times New Roman"/>
                <w:bCs/>
                <w:kern w:val="44"/>
                <w:sz w:val="22"/>
              </w:rPr>
              <w:t>全省</w:t>
            </w:r>
          </w:p>
        </w:tc>
      </w:tr>
      <w:tr w:rsidR="00D2042F" w:rsidRPr="0008129B" w14:paraId="07BDB468" w14:textId="5AC21A6D" w:rsidTr="00384238">
        <w:trPr>
          <w:trHeight w:val="600"/>
          <w:jc w:val="center"/>
        </w:trPr>
        <w:tc>
          <w:tcPr>
            <w:tcW w:w="507" w:type="pct"/>
            <w:vAlign w:val="center"/>
          </w:tcPr>
          <w:p w14:paraId="244B656F"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20109E29" w14:textId="6BBE3D57"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w:t>
            </w:r>
            <w:r w:rsidR="00384238">
              <w:rPr>
                <w:rFonts w:ascii="Times New Roman" w:eastAsia="仿宋_GB2312" w:hAnsi="Times New Roman" w:cs="Times New Roman" w:hint="eastAsia"/>
                <w:bCs/>
                <w:kern w:val="44"/>
                <w:sz w:val="22"/>
              </w:rPr>
              <w:t>座</w:t>
            </w:r>
            <w:r w:rsidRPr="008213AD">
              <w:rPr>
                <w:rFonts w:ascii="Times New Roman" w:eastAsia="仿宋_GB2312" w:hAnsi="Times New Roman" w:cs="Times New Roman"/>
                <w:bCs/>
                <w:kern w:val="44"/>
                <w:sz w:val="22"/>
              </w:rPr>
              <w:t>）</w:t>
            </w:r>
          </w:p>
        </w:tc>
        <w:tc>
          <w:tcPr>
            <w:tcW w:w="374" w:type="pct"/>
            <w:shd w:val="clear" w:color="auto" w:fill="auto"/>
            <w:vAlign w:val="center"/>
          </w:tcPr>
          <w:p w14:paraId="777D4DDD"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p>
        </w:tc>
        <w:tc>
          <w:tcPr>
            <w:tcW w:w="375" w:type="pct"/>
            <w:shd w:val="clear" w:color="auto" w:fill="auto"/>
            <w:vAlign w:val="center"/>
          </w:tcPr>
          <w:p w14:paraId="1D2119D0"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0</w:t>
            </w:r>
          </w:p>
        </w:tc>
        <w:tc>
          <w:tcPr>
            <w:tcW w:w="375" w:type="pct"/>
            <w:shd w:val="clear" w:color="auto" w:fill="auto"/>
            <w:vAlign w:val="center"/>
          </w:tcPr>
          <w:p w14:paraId="19E8043A"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0</w:t>
            </w:r>
          </w:p>
        </w:tc>
        <w:tc>
          <w:tcPr>
            <w:tcW w:w="375" w:type="pct"/>
            <w:shd w:val="clear" w:color="auto" w:fill="auto"/>
            <w:vAlign w:val="center"/>
          </w:tcPr>
          <w:p w14:paraId="74F6D95E"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0</w:t>
            </w:r>
          </w:p>
        </w:tc>
        <w:tc>
          <w:tcPr>
            <w:tcW w:w="375" w:type="pct"/>
            <w:shd w:val="clear" w:color="auto" w:fill="auto"/>
            <w:vAlign w:val="center"/>
          </w:tcPr>
          <w:p w14:paraId="3CFDE31C"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0</w:t>
            </w:r>
          </w:p>
        </w:tc>
        <w:tc>
          <w:tcPr>
            <w:tcW w:w="375" w:type="pct"/>
            <w:shd w:val="clear" w:color="auto" w:fill="auto"/>
            <w:vAlign w:val="center"/>
          </w:tcPr>
          <w:p w14:paraId="72FE7BAA" w14:textId="171E3C9F"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sz w:val="22"/>
              </w:rPr>
              <w:t>9</w:t>
            </w:r>
          </w:p>
        </w:tc>
        <w:tc>
          <w:tcPr>
            <w:tcW w:w="375" w:type="pct"/>
            <w:shd w:val="clear" w:color="auto" w:fill="auto"/>
            <w:vAlign w:val="center"/>
          </w:tcPr>
          <w:p w14:paraId="27DB2870"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0</w:t>
            </w:r>
          </w:p>
        </w:tc>
        <w:tc>
          <w:tcPr>
            <w:tcW w:w="375" w:type="pct"/>
            <w:shd w:val="clear" w:color="auto" w:fill="auto"/>
            <w:vAlign w:val="center"/>
          </w:tcPr>
          <w:p w14:paraId="1DAB17F2"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p>
        </w:tc>
        <w:tc>
          <w:tcPr>
            <w:tcW w:w="375" w:type="pct"/>
            <w:shd w:val="clear" w:color="auto" w:fill="auto"/>
            <w:vAlign w:val="center"/>
          </w:tcPr>
          <w:p w14:paraId="47C26ECA"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0</w:t>
            </w:r>
          </w:p>
        </w:tc>
        <w:tc>
          <w:tcPr>
            <w:tcW w:w="375" w:type="pct"/>
            <w:shd w:val="clear" w:color="auto" w:fill="auto"/>
            <w:vAlign w:val="center"/>
          </w:tcPr>
          <w:p w14:paraId="092106FD" w14:textId="72BCAD3E"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sz w:val="22"/>
              </w:rPr>
              <w:t>2</w:t>
            </w:r>
          </w:p>
        </w:tc>
        <w:tc>
          <w:tcPr>
            <w:tcW w:w="373" w:type="pct"/>
            <w:shd w:val="clear" w:color="auto" w:fill="auto"/>
            <w:vAlign w:val="center"/>
          </w:tcPr>
          <w:p w14:paraId="5315D5F3" w14:textId="64197CF6" w:rsidR="00D2042F" w:rsidRPr="0008129B" w:rsidRDefault="00E13467" w:rsidP="00D2042F">
            <w:pPr>
              <w:ind w:leftChars="-50" w:left="-105" w:rightChars="-50" w:right="-105"/>
              <w:jc w:val="center"/>
              <w:rPr>
                <w:rFonts w:ascii="Times New Roman" w:hAnsi="Times New Roman" w:cs="Times New Roman"/>
                <w:sz w:val="22"/>
              </w:rPr>
            </w:pPr>
            <w:r>
              <w:rPr>
                <w:rFonts w:ascii="Times New Roman" w:hAnsi="Times New Roman" w:cs="Times New Roman"/>
                <w:sz w:val="22"/>
              </w:rPr>
              <w:t>7</w:t>
            </w:r>
          </w:p>
        </w:tc>
        <w:tc>
          <w:tcPr>
            <w:tcW w:w="370" w:type="pct"/>
            <w:vAlign w:val="center"/>
          </w:tcPr>
          <w:p w14:paraId="637CB418" w14:textId="4F6A6A00" w:rsidR="00D2042F" w:rsidRPr="00D2042F" w:rsidRDefault="00E13467" w:rsidP="00D2042F">
            <w:pPr>
              <w:ind w:leftChars="-50" w:left="-105" w:rightChars="-50" w:right="-105"/>
              <w:jc w:val="center"/>
              <w:rPr>
                <w:rFonts w:ascii="Times New Roman" w:hAnsi="Times New Roman" w:cs="Times New Roman"/>
                <w:sz w:val="22"/>
              </w:rPr>
            </w:pPr>
            <w:r>
              <w:rPr>
                <w:rFonts w:ascii="Times New Roman" w:eastAsia="仿宋_GB2312" w:hAnsi="Times New Roman" w:cs="Times New Roman"/>
                <w:bCs/>
                <w:kern w:val="44"/>
                <w:sz w:val="22"/>
              </w:rPr>
              <w:t>20</w:t>
            </w:r>
          </w:p>
        </w:tc>
      </w:tr>
      <w:tr w:rsidR="00D2042F" w:rsidRPr="0008129B" w14:paraId="6070BB2D" w14:textId="4215D728" w:rsidTr="00384238">
        <w:trPr>
          <w:trHeight w:val="600"/>
          <w:jc w:val="center"/>
        </w:trPr>
        <w:tc>
          <w:tcPr>
            <w:tcW w:w="507" w:type="pct"/>
            <w:vAlign w:val="center"/>
          </w:tcPr>
          <w:p w14:paraId="57F4A170"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1222A3C3" w14:textId="5EE234A8"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74" w:type="pct"/>
            <w:shd w:val="clear" w:color="auto" w:fill="auto"/>
            <w:vAlign w:val="center"/>
          </w:tcPr>
          <w:p w14:paraId="0A82CD78"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5" w:type="pct"/>
            <w:shd w:val="clear" w:color="auto" w:fill="auto"/>
            <w:vAlign w:val="center"/>
          </w:tcPr>
          <w:p w14:paraId="57112AB1"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w:t>
            </w:r>
          </w:p>
        </w:tc>
        <w:tc>
          <w:tcPr>
            <w:tcW w:w="375" w:type="pct"/>
            <w:shd w:val="clear" w:color="auto" w:fill="auto"/>
            <w:vAlign w:val="center"/>
          </w:tcPr>
          <w:p w14:paraId="489FA7AF"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w:t>
            </w:r>
          </w:p>
        </w:tc>
        <w:tc>
          <w:tcPr>
            <w:tcW w:w="375" w:type="pct"/>
            <w:shd w:val="clear" w:color="auto" w:fill="auto"/>
            <w:vAlign w:val="center"/>
          </w:tcPr>
          <w:p w14:paraId="2FF0C72E"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w:t>
            </w:r>
          </w:p>
        </w:tc>
        <w:tc>
          <w:tcPr>
            <w:tcW w:w="375" w:type="pct"/>
            <w:shd w:val="clear" w:color="auto" w:fill="auto"/>
            <w:vAlign w:val="center"/>
          </w:tcPr>
          <w:p w14:paraId="43160B0C"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w:t>
            </w:r>
          </w:p>
        </w:tc>
        <w:tc>
          <w:tcPr>
            <w:tcW w:w="375" w:type="pct"/>
            <w:shd w:val="clear" w:color="auto" w:fill="auto"/>
            <w:vAlign w:val="center"/>
          </w:tcPr>
          <w:p w14:paraId="3FB2B54F" w14:textId="55257462" w:rsidR="00D2042F" w:rsidRPr="0008129B" w:rsidRDefault="00E13467" w:rsidP="00D2042F">
            <w:pPr>
              <w:ind w:leftChars="-50" w:left="-105" w:rightChars="-50" w:right="-105"/>
              <w:jc w:val="center"/>
              <w:rPr>
                <w:rFonts w:ascii="Times New Roman" w:hAnsi="Times New Roman" w:cs="Times New Roman"/>
                <w:sz w:val="22"/>
              </w:rPr>
            </w:pPr>
            <w:r>
              <w:rPr>
                <w:rFonts w:ascii="Times New Roman" w:hAnsi="Times New Roman" w:cs="Times New Roman"/>
                <w:sz w:val="22"/>
              </w:rPr>
              <w:t>88.9</w:t>
            </w:r>
          </w:p>
        </w:tc>
        <w:tc>
          <w:tcPr>
            <w:tcW w:w="375" w:type="pct"/>
            <w:shd w:val="clear" w:color="auto" w:fill="auto"/>
            <w:vAlign w:val="center"/>
          </w:tcPr>
          <w:p w14:paraId="45E26B65"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w:t>
            </w:r>
          </w:p>
        </w:tc>
        <w:tc>
          <w:tcPr>
            <w:tcW w:w="375" w:type="pct"/>
            <w:shd w:val="clear" w:color="auto" w:fill="auto"/>
            <w:vAlign w:val="center"/>
          </w:tcPr>
          <w:p w14:paraId="1A3ED769"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5" w:type="pct"/>
            <w:shd w:val="clear" w:color="auto" w:fill="auto"/>
            <w:vAlign w:val="center"/>
          </w:tcPr>
          <w:p w14:paraId="77DAA930"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w:t>
            </w:r>
          </w:p>
        </w:tc>
        <w:tc>
          <w:tcPr>
            <w:tcW w:w="375" w:type="pct"/>
            <w:shd w:val="clear" w:color="auto" w:fill="auto"/>
            <w:vAlign w:val="center"/>
          </w:tcPr>
          <w:p w14:paraId="1A9992AC"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3" w:type="pct"/>
            <w:shd w:val="clear" w:color="auto" w:fill="auto"/>
            <w:vAlign w:val="center"/>
          </w:tcPr>
          <w:p w14:paraId="109C8A42"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0" w:type="pct"/>
            <w:vAlign w:val="center"/>
          </w:tcPr>
          <w:p w14:paraId="5AEBFC96" w14:textId="17EBFF04" w:rsidR="00D2042F" w:rsidRPr="00D2042F" w:rsidRDefault="00E13467" w:rsidP="00D2042F">
            <w:pPr>
              <w:ind w:leftChars="-50" w:left="-105" w:rightChars="-50" w:right="-105"/>
              <w:jc w:val="center"/>
              <w:rPr>
                <w:rFonts w:ascii="Times New Roman" w:hAnsi="Times New Roman" w:cs="Times New Roman"/>
                <w:sz w:val="22"/>
              </w:rPr>
            </w:pPr>
            <w:r>
              <w:rPr>
                <w:rFonts w:ascii="Times New Roman" w:eastAsia="仿宋_GB2312" w:hAnsi="Times New Roman" w:cs="Times New Roman"/>
                <w:bCs/>
                <w:kern w:val="44"/>
                <w:sz w:val="22"/>
              </w:rPr>
              <w:t>95.0</w:t>
            </w:r>
          </w:p>
        </w:tc>
      </w:tr>
    </w:tbl>
    <w:p w14:paraId="7FFE2F2D" w14:textId="28641F25" w:rsidR="00A062F8" w:rsidRPr="00F70D6C" w:rsidRDefault="00317502"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hint="eastAsia"/>
          <w:bCs/>
          <w:kern w:val="44"/>
          <w:sz w:val="28"/>
          <w:szCs w:val="28"/>
        </w:rPr>
        <w:t>2</w:t>
      </w:r>
      <w:r w:rsidR="00F70D6C">
        <w:rPr>
          <w:rFonts w:ascii="Times New Roman" w:eastAsia="仿宋_GB2312" w:hAnsi="Times New Roman" w:cs="Times New Roman" w:hint="eastAsia"/>
          <w:bCs/>
          <w:kern w:val="44"/>
          <w:sz w:val="28"/>
          <w:szCs w:val="28"/>
        </w:rPr>
        <w:t>.</w:t>
      </w:r>
      <w:r w:rsidR="00A062F8" w:rsidRPr="00F70D6C">
        <w:rPr>
          <w:rFonts w:ascii="Times New Roman" w:eastAsia="仿宋_GB2312" w:hAnsi="Times New Roman" w:cs="Times New Roman"/>
          <w:bCs/>
          <w:kern w:val="44"/>
          <w:sz w:val="28"/>
          <w:szCs w:val="28"/>
        </w:rPr>
        <w:t>超标分析</w:t>
      </w:r>
    </w:p>
    <w:p w14:paraId="6228FDFC" w14:textId="3B2F3D56" w:rsidR="00A062F8" w:rsidRPr="00F70D6C" w:rsidRDefault="00A062F8"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存在超标的</w:t>
      </w:r>
      <w:r w:rsidRPr="00F70D6C">
        <w:rPr>
          <w:rFonts w:ascii="Times New Roman" w:eastAsia="仿宋_GB2312" w:hAnsi="Times New Roman" w:cs="Times New Roman" w:hint="eastAsia"/>
          <w:bCs/>
          <w:kern w:val="44"/>
          <w:sz w:val="28"/>
          <w:szCs w:val="28"/>
        </w:rPr>
        <w:t>尾矿库</w:t>
      </w:r>
      <w:r w:rsidRPr="00F70D6C">
        <w:rPr>
          <w:rFonts w:ascii="Times New Roman" w:eastAsia="仿宋_GB2312" w:hAnsi="Times New Roman" w:cs="Times New Roman"/>
          <w:bCs/>
          <w:kern w:val="44"/>
          <w:sz w:val="28"/>
          <w:szCs w:val="28"/>
        </w:rPr>
        <w:t>共</w:t>
      </w:r>
      <w:r w:rsidR="009643D9">
        <w:rPr>
          <w:rFonts w:ascii="Times New Roman" w:eastAsia="仿宋_GB2312" w:hAnsi="Times New Roman" w:cs="Times New Roman"/>
          <w:bCs/>
          <w:kern w:val="44"/>
          <w:sz w:val="28"/>
          <w:szCs w:val="28"/>
        </w:rPr>
        <w:t>1</w:t>
      </w:r>
      <w:r w:rsidRPr="00F70D6C">
        <w:rPr>
          <w:rFonts w:ascii="Times New Roman" w:eastAsia="仿宋_GB2312" w:hAnsi="Times New Roman" w:cs="Times New Roman" w:hint="eastAsia"/>
          <w:bCs/>
          <w:kern w:val="44"/>
          <w:sz w:val="28"/>
          <w:szCs w:val="28"/>
        </w:rPr>
        <w:t>座</w:t>
      </w:r>
      <w:r w:rsidRPr="00F70D6C">
        <w:rPr>
          <w:rFonts w:ascii="Times New Roman" w:eastAsia="仿宋_GB2312" w:hAnsi="Times New Roman" w:cs="Times New Roman"/>
          <w:bCs/>
          <w:kern w:val="44"/>
          <w:sz w:val="28"/>
          <w:szCs w:val="28"/>
        </w:rPr>
        <w:t>，</w:t>
      </w:r>
      <w:r w:rsidRPr="00F70D6C">
        <w:rPr>
          <w:rFonts w:ascii="Times New Roman" w:eastAsia="仿宋_GB2312" w:hAnsi="Times New Roman" w:cs="Times New Roman" w:hint="eastAsia"/>
          <w:bCs/>
          <w:kern w:val="44"/>
          <w:sz w:val="28"/>
          <w:szCs w:val="28"/>
        </w:rPr>
        <w:t>位于绍兴</w:t>
      </w:r>
      <w:r w:rsidRPr="00F70D6C">
        <w:rPr>
          <w:rFonts w:ascii="Times New Roman" w:eastAsia="仿宋_GB2312" w:hAnsi="Times New Roman" w:cs="Times New Roman"/>
          <w:bCs/>
          <w:kern w:val="44"/>
          <w:sz w:val="28"/>
          <w:szCs w:val="28"/>
        </w:rPr>
        <w:t>，超标指标</w:t>
      </w:r>
      <w:r w:rsidRPr="00F70D6C">
        <w:rPr>
          <w:rFonts w:ascii="Times New Roman" w:eastAsia="仿宋_GB2312" w:hAnsi="Times New Roman" w:cs="Times New Roman" w:hint="eastAsia"/>
          <w:bCs/>
          <w:kern w:val="44"/>
          <w:sz w:val="28"/>
          <w:szCs w:val="28"/>
        </w:rPr>
        <w:t>为总锰（超标</w:t>
      </w:r>
      <w:r w:rsidR="009643D9">
        <w:rPr>
          <w:rFonts w:ascii="Times New Roman" w:eastAsia="仿宋_GB2312" w:hAnsi="Times New Roman" w:cs="Times New Roman"/>
          <w:bCs/>
          <w:kern w:val="44"/>
          <w:sz w:val="28"/>
          <w:szCs w:val="28"/>
        </w:rPr>
        <w:t>1</w:t>
      </w:r>
      <w:r w:rsidRPr="00F70D6C">
        <w:rPr>
          <w:rFonts w:ascii="Times New Roman" w:eastAsia="仿宋_GB2312" w:hAnsi="Times New Roman" w:cs="Times New Roman" w:hint="eastAsia"/>
          <w:bCs/>
          <w:kern w:val="44"/>
          <w:sz w:val="28"/>
          <w:szCs w:val="28"/>
        </w:rPr>
        <w:t>次）</w:t>
      </w:r>
      <w:r w:rsidRPr="00F70D6C">
        <w:rPr>
          <w:rFonts w:ascii="Times New Roman" w:eastAsia="仿宋_GB2312" w:hAnsi="Times New Roman" w:cs="Times New Roman"/>
          <w:bCs/>
          <w:kern w:val="44"/>
          <w:sz w:val="28"/>
          <w:szCs w:val="28"/>
        </w:rPr>
        <w:t>。</w:t>
      </w:r>
    </w:p>
    <w:p w14:paraId="4E243EBA" w14:textId="0B615AE9" w:rsidR="00292D4F" w:rsidRPr="00D067CC" w:rsidRDefault="00D70507" w:rsidP="00D067CC">
      <w:pPr>
        <w:spacing w:line="560" w:lineRule="exact"/>
        <w:ind w:firstLineChars="200" w:firstLine="562"/>
        <w:outlineLvl w:val="0"/>
        <w:rPr>
          <w:rFonts w:ascii="Times New Roman" w:eastAsia="楷体_GB2312" w:hAnsi="Times New Roman" w:cs="Times New Roman"/>
          <w:b/>
          <w:bCs/>
          <w:kern w:val="44"/>
          <w:sz w:val="28"/>
          <w:szCs w:val="28"/>
        </w:rPr>
      </w:pPr>
      <w:bookmarkStart w:id="10" w:name="_Toc126401601"/>
      <w:r>
        <w:rPr>
          <w:rFonts w:ascii="Times New Roman" w:eastAsia="楷体_GB2312" w:hAnsi="Times New Roman" w:cs="Times New Roman" w:hint="eastAsia"/>
          <w:b/>
          <w:bCs/>
          <w:kern w:val="44"/>
          <w:sz w:val="28"/>
          <w:szCs w:val="28"/>
        </w:rPr>
        <w:t>四</w:t>
      </w:r>
      <w:r w:rsidR="00292D4F" w:rsidRPr="00D067CC">
        <w:rPr>
          <w:rFonts w:ascii="Times New Roman" w:eastAsia="楷体_GB2312" w:hAnsi="Times New Roman" w:cs="Times New Roman" w:hint="eastAsia"/>
          <w:b/>
          <w:bCs/>
          <w:kern w:val="44"/>
          <w:sz w:val="28"/>
          <w:szCs w:val="28"/>
        </w:rPr>
        <w:t>、</w:t>
      </w:r>
      <w:r w:rsidR="00EC5D5D" w:rsidRPr="00D067CC">
        <w:rPr>
          <w:rFonts w:ascii="Times New Roman" w:eastAsia="楷体_GB2312" w:hAnsi="Times New Roman" w:cs="Times New Roman" w:hint="eastAsia"/>
          <w:b/>
          <w:bCs/>
          <w:kern w:val="44"/>
          <w:sz w:val="28"/>
          <w:szCs w:val="28"/>
        </w:rPr>
        <w:t>下一步建议</w:t>
      </w:r>
      <w:bookmarkEnd w:id="10"/>
    </w:p>
    <w:p w14:paraId="19D450B8" w14:textId="77777777" w:rsidR="00EC5D5D" w:rsidRPr="00EA2B97" w:rsidRDefault="00EC5D5D" w:rsidP="00F70D6C">
      <w:pPr>
        <w:spacing w:line="560" w:lineRule="exact"/>
        <w:ind w:firstLineChars="200" w:firstLine="562"/>
        <w:rPr>
          <w:rFonts w:ascii="Times New Roman" w:eastAsia="仿宋_GB2312" w:hAnsi="Times New Roman" w:cs="Times New Roman"/>
          <w:b/>
          <w:bCs/>
          <w:kern w:val="44"/>
          <w:sz w:val="28"/>
          <w:szCs w:val="28"/>
        </w:rPr>
      </w:pPr>
      <w:r w:rsidRPr="00EA2B97">
        <w:rPr>
          <w:rFonts w:ascii="Times New Roman" w:eastAsia="仿宋_GB2312" w:hAnsi="Times New Roman" w:cs="Times New Roman" w:hint="eastAsia"/>
          <w:b/>
          <w:bCs/>
          <w:kern w:val="44"/>
          <w:sz w:val="28"/>
          <w:szCs w:val="28"/>
        </w:rPr>
        <w:t>一是集智解决重点问题，巩固执法监测成效</w:t>
      </w:r>
    </w:p>
    <w:p w14:paraId="1FFB74B8" w14:textId="77777777" w:rsidR="00F80AB6" w:rsidRPr="00F80AB6" w:rsidRDefault="00F80AB6" w:rsidP="00F80AB6">
      <w:pPr>
        <w:spacing w:line="560" w:lineRule="exact"/>
        <w:ind w:firstLineChars="200" w:firstLine="560"/>
        <w:rPr>
          <w:rFonts w:ascii="Times New Roman" w:eastAsia="仿宋_GB2312" w:hAnsi="Times New Roman" w:cs="Times New Roman"/>
          <w:bCs/>
          <w:kern w:val="44"/>
          <w:sz w:val="28"/>
          <w:szCs w:val="28"/>
        </w:rPr>
      </w:pPr>
      <w:r w:rsidRPr="00F80AB6">
        <w:rPr>
          <w:rFonts w:ascii="Times New Roman" w:eastAsia="仿宋_GB2312" w:hAnsi="Times New Roman" w:cs="Times New Roman" w:hint="eastAsia"/>
          <w:bCs/>
          <w:kern w:val="44"/>
          <w:sz w:val="28"/>
          <w:szCs w:val="28"/>
        </w:rPr>
        <w:t>各地要高度重视，进一步健全完善工作机制，落实专人负责，畅通上下沟通机制，切实加强和规范执法监测工作，为污染防治、环境管理和监管执法提供有利支撑。</w:t>
      </w:r>
    </w:p>
    <w:p w14:paraId="2CE696AC" w14:textId="24AF9FB4" w:rsidR="00EC5D5D" w:rsidRPr="00EA2B97" w:rsidRDefault="00EC5D5D" w:rsidP="00F70D6C">
      <w:pPr>
        <w:spacing w:line="560" w:lineRule="exact"/>
        <w:ind w:firstLineChars="200" w:firstLine="562"/>
        <w:rPr>
          <w:rFonts w:ascii="Times New Roman" w:eastAsia="仿宋_GB2312" w:hAnsi="Times New Roman" w:cs="Times New Roman"/>
          <w:b/>
          <w:bCs/>
          <w:kern w:val="44"/>
          <w:sz w:val="28"/>
          <w:szCs w:val="28"/>
        </w:rPr>
      </w:pPr>
      <w:r w:rsidRPr="00EA2B97">
        <w:rPr>
          <w:rFonts w:ascii="Times New Roman" w:eastAsia="仿宋_GB2312" w:hAnsi="Times New Roman" w:cs="Times New Roman" w:hint="eastAsia"/>
          <w:b/>
          <w:bCs/>
          <w:kern w:val="44"/>
          <w:sz w:val="28"/>
          <w:szCs w:val="28"/>
        </w:rPr>
        <w:t>二是加强质量</w:t>
      </w:r>
      <w:r w:rsidR="00E604DD">
        <w:rPr>
          <w:rFonts w:ascii="Times New Roman" w:eastAsia="仿宋_GB2312" w:hAnsi="Times New Roman" w:cs="Times New Roman" w:hint="eastAsia"/>
          <w:b/>
          <w:bCs/>
          <w:kern w:val="44"/>
          <w:sz w:val="28"/>
          <w:szCs w:val="28"/>
        </w:rPr>
        <w:t>控制，确保</w:t>
      </w:r>
      <w:r w:rsidRPr="00EA2B97">
        <w:rPr>
          <w:rFonts w:ascii="Times New Roman" w:eastAsia="仿宋_GB2312" w:hAnsi="Times New Roman" w:cs="Times New Roman" w:hint="eastAsia"/>
          <w:b/>
          <w:bCs/>
          <w:kern w:val="44"/>
          <w:sz w:val="28"/>
          <w:szCs w:val="28"/>
        </w:rPr>
        <w:t>数据准确</w:t>
      </w:r>
    </w:p>
    <w:p w14:paraId="11FE1F10" w14:textId="77777777" w:rsidR="00F80AB6" w:rsidRPr="00F80AB6" w:rsidRDefault="00F80AB6" w:rsidP="00F80AB6">
      <w:pPr>
        <w:spacing w:line="560" w:lineRule="exact"/>
        <w:ind w:firstLineChars="200" w:firstLine="560"/>
        <w:rPr>
          <w:rFonts w:ascii="Times New Roman" w:eastAsia="仿宋_GB2312" w:hAnsi="Times New Roman" w:cs="Times New Roman"/>
          <w:bCs/>
          <w:kern w:val="44"/>
          <w:sz w:val="28"/>
          <w:szCs w:val="28"/>
        </w:rPr>
      </w:pPr>
      <w:r w:rsidRPr="00F80AB6">
        <w:rPr>
          <w:rFonts w:ascii="Times New Roman" w:eastAsia="仿宋_GB2312" w:hAnsi="Times New Roman" w:cs="Times New Roman" w:hint="eastAsia"/>
          <w:bCs/>
          <w:kern w:val="44"/>
          <w:sz w:val="28"/>
          <w:szCs w:val="28"/>
        </w:rPr>
        <w:t>把好数据审核关，确保污染源监测数据真、准、全。进一步完善质量管理体系，对委托的第三方社会化监测机构出具的报告，应进行形式审查，发现问题开展监督检查。</w:t>
      </w:r>
    </w:p>
    <w:p w14:paraId="06CD194A" w14:textId="77777777" w:rsidR="00EC5D5D" w:rsidRPr="00F80AB6" w:rsidRDefault="00EC5D5D" w:rsidP="004F19D9">
      <w:pPr>
        <w:spacing w:line="520" w:lineRule="exact"/>
        <w:ind w:firstLineChars="200" w:firstLine="560"/>
        <w:rPr>
          <w:rFonts w:ascii="Times New Roman" w:eastAsia="仿宋_GB2312" w:hAnsi="Times New Roman" w:cs="Times New Roman"/>
          <w:sz w:val="28"/>
          <w:szCs w:val="28"/>
        </w:rPr>
        <w:sectPr w:rsidR="00EC5D5D" w:rsidRPr="00F80AB6" w:rsidSect="00E471FD">
          <w:footerReference w:type="default" r:id="rId24"/>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pgNumType w:start="1"/>
          <w:cols w:space="425"/>
          <w:docGrid w:type="lines" w:linePitch="312"/>
        </w:sectPr>
      </w:pPr>
    </w:p>
    <w:p w14:paraId="37200663" w14:textId="7FA80850" w:rsidR="00CF1F5E" w:rsidRPr="00E95B6F" w:rsidRDefault="00CF1F5E" w:rsidP="00CF1F5E">
      <w:pPr>
        <w:spacing w:afterLines="50" w:after="156"/>
        <w:outlineLvl w:val="0"/>
        <w:rPr>
          <w:rFonts w:ascii="Times New Roman" w:eastAsia="黑体" w:hAnsi="Times New Roman" w:cs="Times New Roman"/>
          <w:b/>
          <w:bCs/>
          <w:kern w:val="0"/>
          <w:sz w:val="30"/>
          <w:szCs w:val="30"/>
        </w:rPr>
      </w:pPr>
      <w:bookmarkStart w:id="11" w:name="_Toc126401602"/>
      <w:bookmarkStart w:id="12" w:name="_GoBack"/>
      <w:bookmarkEnd w:id="12"/>
      <w:r w:rsidRPr="00E95B6F">
        <w:rPr>
          <w:rFonts w:ascii="Times New Roman" w:eastAsia="黑体" w:hAnsi="Times New Roman" w:cs="Times New Roman"/>
          <w:b/>
          <w:bCs/>
          <w:kern w:val="0"/>
          <w:sz w:val="30"/>
          <w:szCs w:val="30"/>
        </w:rPr>
        <w:lastRenderedPageBreak/>
        <w:t>附录一：监测项目、监测频次以及评价标准</w:t>
      </w:r>
      <w:bookmarkEnd w:id="11"/>
    </w:p>
    <w:p w14:paraId="62A1D76F" w14:textId="77777777" w:rsidR="00CF1F5E" w:rsidRPr="00E95B6F" w:rsidRDefault="00CF1F5E" w:rsidP="00CF1F5E">
      <w:pPr>
        <w:spacing w:line="540" w:lineRule="exact"/>
        <w:ind w:firstLineChars="200" w:firstLine="562"/>
        <w:rPr>
          <w:rFonts w:ascii="Times New Roman" w:eastAsia="黑体" w:hAnsi="Times New Roman" w:cs="Times New Roman"/>
          <w:b/>
          <w:bCs/>
          <w:kern w:val="0"/>
          <w:sz w:val="30"/>
          <w:szCs w:val="30"/>
        </w:rPr>
      </w:pPr>
      <w:r w:rsidRPr="00E95B6F">
        <w:rPr>
          <w:rFonts w:ascii="Times New Roman" w:eastAsia="仿宋_GB2312" w:hAnsi="Times New Roman" w:cs="Times New Roman"/>
          <w:b/>
          <w:bCs/>
          <w:kern w:val="0"/>
          <w:sz w:val="28"/>
          <w:szCs w:val="28"/>
        </w:rPr>
        <w:t>一、</w:t>
      </w:r>
      <w:r w:rsidR="004E2C66" w:rsidRPr="00E95B6F">
        <w:rPr>
          <w:rFonts w:ascii="Times New Roman" w:eastAsia="仿宋_GB2312" w:hAnsi="Times New Roman" w:cs="Times New Roman"/>
          <w:b/>
          <w:bCs/>
          <w:kern w:val="0"/>
          <w:sz w:val="28"/>
          <w:szCs w:val="28"/>
        </w:rPr>
        <w:t>涉水排放</w:t>
      </w:r>
      <w:r w:rsidRPr="00E95B6F">
        <w:rPr>
          <w:rFonts w:ascii="Times New Roman" w:eastAsia="仿宋_GB2312" w:hAnsi="Times New Roman" w:cs="Times New Roman"/>
          <w:b/>
          <w:bCs/>
          <w:kern w:val="0"/>
          <w:sz w:val="28"/>
          <w:szCs w:val="28"/>
        </w:rPr>
        <w:t>排污单位</w:t>
      </w:r>
    </w:p>
    <w:p w14:paraId="75D2A47F" w14:textId="77777777" w:rsidR="00CF1F5E" w:rsidRPr="00E95B6F" w:rsidRDefault="00CF1F5E" w:rsidP="00CF1F5E">
      <w:pPr>
        <w:spacing w:line="540" w:lineRule="exact"/>
        <w:ind w:firstLineChars="200" w:firstLine="562"/>
        <w:rPr>
          <w:rFonts w:ascii="Times New Roman" w:eastAsia="仿宋_GB2312" w:hAnsi="Times New Roman" w:cs="Times New Roman"/>
          <w:kern w:val="0"/>
          <w:sz w:val="28"/>
          <w:szCs w:val="28"/>
        </w:rPr>
      </w:pPr>
      <w:r w:rsidRPr="00E95B6F">
        <w:rPr>
          <w:rFonts w:ascii="Times New Roman" w:eastAsia="仿宋_GB2312" w:hAnsi="Times New Roman" w:cs="Times New Roman"/>
          <w:b/>
          <w:kern w:val="0"/>
          <w:sz w:val="28"/>
          <w:szCs w:val="28"/>
        </w:rPr>
        <w:t>监测项目：</w:t>
      </w:r>
      <w:r w:rsidRPr="00E95B6F">
        <w:rPr>
          <w:rFonts w:ascii="Times New Roman" w:eastAsia="仿宋_GB2312" w:hAnsi="Times New Roman" w:cs="Times New Roman"/>
          <w:kern w:val="0"/>
          <w:sz w:val="28"/>
          <w:szCs w:val="28"/>
        </w:rPr>
        <w:t>废水流量、</w:t>
      </w:r>
      <w:r w:rsidRPr="00E95B6F">
        <w:rPr>
          <w:rFonts w:ascii="Times New Roman" w:eastAsia="仿宋_GB2312" w:hAnsi="Times New Roman" w:cs="Times New Roman"/>
          <w:kern w:val="0"/>
          <w:sz w:val="28"/>
          <w:szCs w:val="28"/>
        </w:rPr>
        <w:t>pH</w:t>
      </w:r>
      <w:r w:rsidRPr="00E95B6F">
        <w:rPr>
          <w:rFonts w:ascii="Times New Roman" w:eastAsia="仿宋_GB2312" w:hAnsi="Times New Roman" w:cs="Times New Roman"/>
          <w:kern w:val="0"/>
          <w:sz w:val="28"/>
          <w:szCs w:val="28"/>
        </w:rPr>
        <w:t>、色度、悬浮物、</w:t>
      </w:r>
      <w:r w:rsidRPr="00E95B6F">
        <w:rPr>
          <w:rFonts w:ascii="Times New Roman" w:eastAsia="仿宋_GB2312" w:hAnsi="Times New Roman" w:cs="Times New Roman"/>
          <w:kern w:val="0"/>
          <w:sz w:val="28"/>
          <w:szCs w:val="28"/>
        </w:rPr>
        <w:t xml:space="preserve">COD </w:t>
      </w:r>
      <w:r w:rsidRPr="00E95B6F">
        <w:rPr>
          <w:rFonts w:ascii="Times New Roman" w:eastAsia="仿宋_GB2312" w:hAnsi="Times New Roman" w:cs="Times New Roman"/>
          <w:kern w:val="0"/>
          <w:sz w:val="28"/>
          <w:szCs w:val="28"/>
        </w:rPr>
        <w:t>、生化需氧量、氨氮、总磷、石油类、挥发酚、氰化物、汞、镉、铅、砷、六价铬等。</w:t>
      </w:r>
    </w:p>
    <w:p w14:paraId="2CFDA0E9" w14:textId="77777777" w:rsidR="00CF1F5E" w:rsidRPr="00E95B6F" w:rsidRDefault="00CF1F5E" w:rsidP="00CF1F5E">
      <w:pPr>
        <w:spacing w:line="540" w:lineRule="exact"/>
        <w:ind w:left="562"/>
        <w:rPr>
          <w:rFonts w:ascii="Times New Roman" w:eastAsia="仿宋_GB2312" w:hAnsi="Times New Roman" w:cs="Times New Roman"/>
          <w:bCs/>
          <w:kern w:val="0"/>
          <w:sz w:val="28"/>
          <w:szCs w:val="28"/>
        </w:rPr>
      </w:pPr>
      <w:r w:rsidRPr="00E95B6F">
        <w:rPr>
          <w:rFonts w:ascii="Times New Roman" w:eastAsia="仿宋_GB2312" w:hAnsi="Times New Roman" w:cs="Times New Roman"/>
          <w:b/>
          <w:kern w:val="0"/>
          <w:sz w:val="28"/>
          <w:szCs w:val="28"/>
        </w:rPr>
        <w:t>监测频次：</w:t>
      </w:r>
      <w:r w:rsidRPr="00E95B6F">
        <w:rPr>
          <w:rFonts w:ascii="Times New Roman" w:eastAsia="仿宋_GB2312" w:hAnsi="Times New Roman" w:cs="Times New Roman"/>
          <w:kern w:val="0"/>
          <w:sz w:val="28"/>
          <w:szCs w:val="28"/>
        </w:rPr>
        <w:t>每年</w:t>
      </w:r>
      <w:r w:rsidRPr="00E95B6F">
        <w:rPr>
          <w:rFonts w:ascii="Times New Roman" w:eastAsia="仿宋_GB2312" w:hAnsi="Times New Roman" w:cs="Times New Roman"/>
          <w:kern w:val="0"/>
          <w:sz w:val="28"/>
          <w:szCs w:val="28"/>
        </w:rPr>
        <w:t>1~4</w:t>
      </w:r>
      <w:r w:rsidRPr="00E95B6F">
        <w:rPr>
          <w:rFonts w:ascii="Times New Roman" w:eastAsia="仿宋_GB2312" w:hAnsi="Times New Roman" w:cs="Times New Roman"/>
          <w:kern w:val="0"/>
          <w:sz w:val="28"/>
          <w:szCs w:val="28"/>
        </w:rPr>
        <w:t>次</w:t>
      </w:r>
      <w:r w:rsidR="004E2C66" w:rsidRPr="00E95B6F">
        <w:rPr>
          <w:rFonts w:ascii="Times New Roman" w:eastAsia="仿宋_GB2312" w:hAnsi="Times New Roman" w:cs="Times New Roman"/>
          <w:bCs/>
          <w:kern w:val="0"/>
          <w:sz w:val="28"/>
          <w:szCs w:val="28"/>
        </w:rPr>
        <w:t>。</w:t>
      </w:r>
    </w:p>
    <w:p w14:paraId="1912DF64" w14:textId="046B3386" w:rsidR="00CF1F5E" w:rsidRPr="00E95B6F" w:rsidRDefault="00CF1F5E" w:rsidP="00C407E1">
      <w:pPr>
        <w:spacing w:line="540" w:lineRule="exact"/>
        <w:ind w:firstLineChars="200" w:firstLine="562"/>
        <w:rPr>
          <w:rFonts w:ascii="Times New Roman" w:eastAsia="仿宋_GB2312" w:hAnsi="Times New Roman" w:cs="Times New Roman"/>
          <w:b/>
          <w:bCs/>
          <w:kern w:val="0"/>
          <w:sz w:val="28"/>
          <w:szCs w:val="28"/>
        </w:rPr>
      </w:pPr>
      <w:r w:rsidRPr="00E95B6F">
        <w:rPr>
          <w:rFonts w:ascii="Times New Roman" w:eastAsia="仿宋_GB2312" w:hAnsi="Times New Roman" w:cs="Times New Roman"/>
          <w:b/>
          <w:kern w:val="0"/>
          <w:sz w:val="28"/>
          <w:szCs w:val="28"/>
        </w:rPr>
        <w:t>评</w:t>
      </w:r>
      <w:r w:rsidRPr="00E95B6F">
        <w:rPr>
          <w:rFonts w:ascii="Times New Roman" w:eastAsia="仿宋_GB2312" w:hAnsi="Times New Roman" w:cs="Times New Roman"/>
          <w:b/>
          <w:bCs/>
          <w:kern w:val="0"/>
          <w:sz w:val="28"/>
          <w:szCs w:val="28"/>
        </w:rPr>
        <w:t>价标准：</w:t>
      </w:r>
      <w:r w:rsidRPr="00E95B6F">
        <w:rPr>
          <w:rFonts w:ascii="Times New Roman" w:eastAsia="仿宋_GB2312" w:hAnsi="Times New Roman" w:cs="Times New Roman"/>
          <w:bCs/>
          <w:kern w:val="0"/>
          <w:sz w:val="28"/>
          <w:szCs w:val="28"/>
        </w:rPr>
        <w:t>《污水综合排放标准》（</w:t>
      </w:r>
      <w:r w:rsidRPr="00E95B6F">
        <w:rPr>
          <w:rFonts w:ascii="Times New Roman" w:eastAsia="仿宋_GB2312" w:hAnsi="Times New Roman" w:cs="Times New Roman"/>
          <w:bCs/>
          <w:kern w:val="0"/>
          <w:sz w:val="28"/>
          <w:szCs w:val="28"/>
        </w:rPr>
        <w:t>GB8978-1996</w:t>
      </w:r>
      <w:r w:rsidRPr="00E95B6F">
        <w:rPr>
          <w:rFonts w:ascii="Times New Roman" w:eastAsia="仿宋_GB2312" w:hAnsi="Times New Roman" w:cs="Times New Roman"/>
          <w:bCs/>
          <w:kern w:val="0"/>
          <w:sz w:val="28"/>
          <w:szCs w:val="28"/>
        </w:rPr>
        <w:t>）、《制浆造纸工业水污染物排放标准》（</w:t>
      </w:r>
      <w:r w:rsidRPr="00E95B6F">
        <w:rPr>
          <w:rFonts w:ascii="Times New Roman" w:eastAsia="仿宋_GB2312" w:hAnsi="Times New Roman" w:cs="Times New Roman"/>
          <w:bCs/>
          <w:kern w:val="0"/>
          <w:sz w:val="28"/>
          <w:szCs w:val="28"/>
        </w:rPr>
        <w:t>GB3544-2008</w:t>
      </w:r>
      <w:r w:rsidRPr="00E95B6F">
        <w:rPr>
          <w:rFonts w:ascii="Times New Roman" w:eastAsia="仿宋_GB2312" w:hAnsi="Times New Roman" w:cs="Times New Roman"/>
          <w:bCs/>
          <w:kern w:val="0"/>
          <w:sz w:val="28"/>
          <w:szCs w:val="28"/>
        </w:rPr>
        <w:t>）、《纺织染整工业水污染物排放标准》（</w:t>
      </w:r>
      <w:r w:rsidRPr="00E95B6F">
        <w:rPr>
          <w:rFonts w:ascii="Times New Roman" w:eastAsia="仿宋_GB2312" w:hAnsi="Times New Roman" w:cs="Times New Roman"/>
          <w:bCs/>
          <w:kern w:val="0"/>
          <w:sz w:val="28"/>
          <w:szCs w:val="28"/>
        </w:rPr>
        <w:t>GB4287-2012</w:t>
      </w:r>
      <w:r w:rsidR="004E2C66" w:rsidRPr="00E95B6F">
        <w:rPr>
          <w:rFonts w:ascii="Times New Roman" w:eastAsia="仿宋_GB2312" w:hAnsi="Times New Roman" w:cs="Times New Roman"/>
          <w:bCs/>
          <w:kern w:val="0"/>
          <w:sz w:val="28"/>
          <w:szCs w:val="28"/>
        </w:rPr>
        <w:t>）</w:t>
      </w:r>
      <w:r w:rsidR="00DE7B1D" w:rsidRPr="00E95B6F">
        <w:rPr>
          <w:rFonts w:ascii="Times New Roman" w:eastAsia="仿宋_GB2312" w:hAnsi="Times New Roman" w:cs="Times New Roman"/>
          <w:bCs/>
          <w:kern w:val="0"/>
          <w:sz w:val="28"/>
          <w:szCs w:val="28"/>
        </w:rPr>
        <w:t>及修改单</w:t>
      </w:r>
      <w:r w:rsidRPr="00E95B6F">
        <w:rPr>
          <w:rFonts w:ascii="Times New Roman" w:eastAsia="仿宋_GB2312" w:hAnsi="Times New Roman" w:cs="Times New Roman"/>
          <w:bCs/>
          <w:kern w:val="0"/>
          <w:sz w:val="28"/>
          <w:szCs w:val="28"/>
        </w:rPr>
        <w:t>、</w:t>
      </w:r>
      <w:r w:rsidR="002D7959" w:rsidRPr="00E95B6F">
        <w:rPr>
          <w:rFonts w:ascii="Times New Roman" w:eastAsia="仿宋_GB2312" w:hAnsi="Times New Roman" w:cs="Times New Roman"/>
          <w:bCs/>
          <w:kern w:val="0"/>
          <w:sz w:val="28"/>
          <w:szCs w:val="28"/>
        </w:rPr>
        <w:t>《电镀</w:t>
      </w:r>
      <w:r w:rsidR="00D2657E">
        <w:rPr>
          <w:rFonts w:ascii="Times New Roman" w:eastAsia="仿宋_GB2312" w:hAnsi="Times New Roman" w:cs="Times New Roman" w:hint="eastAsia"/>
          <w:bCs/>
          <w:kern w:val="0"/>
          <w:sz w:val="28"/>
          <w:szCs w:val="28"/>
        </w:rPr>
        <w:t>水</w:t>
      </w:r>
      <w:r w:rsidR="002D7959" w:rsidRPr="00E95B6F">
        <w:rPr>
          <w:rFonts w:ascii="Times New Roman" w:eastAsia="仿宋_GB2312" w:hAnsi="Times New Roman" w:cs="Times New Roman"/>
          <w:bCs/>
          <w:kern w:val="0"/>
          <w:sz w:val="28"/>
          <w:szCs w:val="28"/>
        </w:rPr>
        <w:t>污染物排放标准》（</w:t>
      </w:r>
      <w:r w:rsidR="00D2657E">
        <w:rPr>
          <w:rFonts w:ascii="Times New Roman" w:eastAsia="仿宋_GB2312" w:hAnsi="Times New Roman" w:cs="Times New Roman"/>
          <w:bCs/>
          <w:kern w:val="0"/>
          <w:sz w:val="28"/>
          <w:szCs w:val="28"/>
        </w:rPr>
        <w:t>D</w:t>
      </w:r>
      <w:r w:rsidR="002D7959" w:rsidRPr="00E95B6F">
        <w:rPr>
          <w:rFonts w:ascii="Times New Roman" w:eastAsia="仿宋_GB2312" w:hAnsi="Times New Roman" w:cs="Times New Roman"/>
          <w:bCs/>
          <w:kern w:val="0"/>
          <w:sz w:val="28"/>
          <w:szCs w:val="28"/>
        </w:rPr>
        <w:t>B</w:t>
      </w:r>
      <w:r w:rsidR="00D2657E">
        <w:rPr>
          <w:rFonts w:ascii="Times New Roman" w:eastAsia="仿宋_GB2312" w:hAnsi="Times New Roman" w:cs="Times New Roman"/>
          <w:bCs/>
          <w:kern w:val="0"/>
          <w:sz w:val="28"/>
          <w:szCs w:val="28"/>
        </w:rPr>
        <w:t>33/2260-2020</w:t>
      </w:r>
      <w:r w:rsidR="002D7959"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w:t>
      </w:r>
      <w:r w:rsidR="00B616D8" w:rsidRPr="00E95B6F">
        <w:rPr>
          <w:rFonts w:ascii="Times New Roman" w:eastAsia="仿宋_GB2312" w:hAnsi="Times New Roman" w:cs="Times New Roman"/>
          <w:spacing w:val="-2"/>
          <w:sz w:val="28"/>
        </w:rPr>
        <w:t>城镇污水处理厂</w:t>
      </w:r>
      <w:r w:rsidR="00B616D8">
        <w:rPr>
          <w:rFonts w:ascii="Times New Roman" w:eastAsia="仿宋_GB2312" w:hAnsi="Times New Roman" w:cs="Times New Roman" w:hint="eastAsia"/>
          <w:spacing w:val="-2"/>
          <w:sz w:val="28"/>
        </w:rPr>
        <w:t>主要水</w:t>
      </w:r>
      <w:r w:rsidRPr="00E95B6F">
        <w:rPr>
          <w:rFonts w:ascii="Times New Roman" w:eastAsia="仿宋_GB2312" w:hAnsi="Times New Roman" w:cs="Times New Roman"/>
          <w:bCs/>
          <w:kern w:val="0"/>
          <w:sz w:val="28"/>
          <w:szCs w:val="28"/>
        </w:rPr>
        <w:t>污染物排放标准》（</w:t>
      </w:r>
      <w:r w:rsidR="00B616D8">
        <w:rPr>
          <w:rFonts w:ascii="Times New Roman" w:eastAsia="仿宋_GB2312" w:hAnsi="Times New Roman" w:cs="Times New Roman"/>
          <w:bCs/>
          <w:kern w:val="0"/>
          <w:sz w:val="28"/>
          <w:szCs w:val="28"/>
        </w:rPr>
        <w:t>DB33/2169-2018</w:t>
      </w: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kern w:val="0"/>
          <w:sz w:val="28"/>
          <w:szCs w:val="28"/>
        </w:rPr>
        <w:t>、</w:t>
      </w:r>
      <w:r w:rsidRPr="00E95B6F">
        <w:rPr>
          <w:rFonts w:ascii="Times New Roman" w:eastAsia="仿宋_GB2312" w:hAnsi="Times New Roman" w:cs="Times New Roman"/>
          <w:spacing w:val="-2"/>
          <w:sz w:val="28"/>
        </w:rPr>
        <w:t>《城镇污水处理厂污染物排放标准》（</w:t>
      </w:r>
      <w:r w:rsidRPr="00E95B6F">
        <w:rPr>
          <w:rFonts w:ascii="Times New Roman" w:eastAsia="仿宋_GB2312" w:hAnsi="Times New Roman" w:cs="Times New Roman"/>
          <w:spacing w:val="-2"/>
          <w:sz w:val="28"/>
        </w:rPr>
        <w:t>GB 18918-2002</w:t>
      </w:r>
      <w:r w:rsidRPr="00E95B6F">
        <w:rPr>
          <w:rFonts w:ascii="Times New Roman" w:eastAsia="仿宋_GB2312" w:hAnsi="Times New Roman" w:cs="Times New Roman"/>
          <w:spacing w:val="-2"/>
          <w:sz w:val="28"/>
        </w:rPr>
        <w:t>）等</w:t>
      </w:r>
      <w:r w:rsidRPr="00E95B6F">
        <w:rPr>
          <w:rFonts w:ascii="Times New Roman" w:eastAsia="仿宋_GB2312" w:hAnsi="Times New Roman" w:cs="Times New Roman"/>
          <w:bCs/>
          <w:kern w:val="0"/>
          <w:sz w:val="28"/>
          <w:szCs w:val="28"/>
        </w:rPr>
        <w:t>。</w:t>
      </w:r>
    </w:p>
    <w:p w14:paraId="0410C384" w14:textId="77777777" w:rsidR="00CF1F5E" w:rsidRPr="00E95B6F" w:rsidRDefault="00CF1F5E" w:rsidP="00CF1F5E">
      <w:pPr>
        <w:autoSpaceDE w:val="0"/>
        <w:autoSpaceDN w:val="0"/>
        <w:spacing w:line="540" w:lineRule="exact"/>
        <w:ind w:left="562"/>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二、</w:t>
      </w:r>
      <w:r w:rsidR="004E2C66" w:rsidRPr="00E95B6F">
        <w:rPr>
          <w:rFonts w:ascii="Times New Roman" w:eastAsia="仿宋_GB2312" w:hAnsi="Times New Roman" w:cs="Times New Roman"/>
          <w:b/>
          <w:kern w:val="0"/>
          <w:sz w:val="28"/>
          <w:szCs w:val="28"/>
        </w:rPr>
        <w:t>涉</w:t>
      </w:r>
      <w:r w:rsidRPr="00E95B6F">
        <w:rPr>
          <w:rFonts w:ascii="Times New Roman" w:eastAsia="仿宋_GB2312" w:hAnsi="Times New Roman" w:cs="Times New Roman"/>
          <w:b/>
          <w:bCs/>
          <w:kern w:val="0"/>
          <w:sz w:val="28"/>
          <w:szCs w:val="28"/>
        </w:rPr>
        <w:t>气</w:t>
      </w:r>
      <w:r w:rsidR="004E2C66" w:rsidRPr="00E95B6F">
        <w:rPr>
          <w:rFonts w:ascii="Times New Roman" w:eastAsia="仿宋_GB2312" w:hAnsi="Times New Roman" w:cs="Times New Roman"/>
          <w:b/>
          <w:bCs/>
          <w:kern w:val="0"/>
          <w:sz w:val="28"/>
          <w:szCs w:val="28"/>
        </w:rPr>
        <w:t>排放</w:t>
      </w:r>
      <w:r w:rsidRPr="00E95B6F">
        <w:rPr>
          <w:rFonts w:ascii="Times New Roman" w:eastAsia="仿宋_GB2312" w:hAnsi="Times New Roman" w:cs="Times New Roman"/>
          <w:b/>
          <w:bCs/>
          <w:kern w:val="0"/>
          <w:sz w:val="28"/>
          <w:szCs w:val="28"/>
        </w:rPr>
        <w:t>排污单位</w:t>
      </w:r>
    </w:p>
    <w:p w14:paraId="12295DAC" w14:textId="77777777" w:rsidR="00CF1F5E" w:rsidRPr="00E95B6F" w:rsidRDefault="00CF1F5E" w:rsidP="00CF1F5E">
      <w:pPr>
        <w:spacing w:line="540" w:lineRule="exact"/>
        <w:ind w:firstLineChars="200" w:firstLine="562"/>
        <w:rPr>
          <w:rFonts w:ascii="Times New Roman" w:eastAsia="仿宋_GB2312" w:hAnsi="Times New Roman" w:cs="Times New Roman"/>
          <w:kern w:val="0"/>
          <w:sz w:val="28"/>
          <w:szCs w:val="28"/>
        </w:rPr>
      </w:pPr>
      <w:r w:rsidRPr="00E95B6F">
        <w:rPr>
          <w:rFonts w:ascii="Times New Roman" w:eastAsia="仿宋_GB2312" w:hAnsi="Times New Roman" w:cs="Times New Roman"/>
          <w:b/>
          <w:kern w:val="0"/>
          <w:sz w:val="28"/>
          <w:szCs w:val="28"/>
        </w:rPr>
        <w:t>监测项目：</w:t>
      </w:r>
      <w:r w:rsidRPr="00E95B6F">
        <w:rPr>
          <w:rFonts w:ascii="Times New Roman" w:eastAsia="仿宋_GB2312" w:hAnsi="Times New Roman" w:cs="Times New Roman"/>
          <w:bCs/>
          <w:kern w:val="0"/>
          <w:sz w:val="28"/>
          <w:szCs w:val="28"/>
        </w:rPr>
        <w:t>废气流量、烟（粉）尘</w:t>
      </w: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颗粒物、二氧化硫、氮氧化物、烟气黑度、燃料含硫量等。</w:t>
      </w:r>
    </w:p>
    <w:p w14:paraId="57FB443C" w14:textId="77777777" w:rsidR="00CF1F5E" w:rsidRPr="00E95B6F" w:rsidRDefault="00CF1F5E" w:rsidP="00CF1F5E">
      <w:pPr>
        <w:spacing w:line="540" w:lineRule="exact"/>
        <w:ind w:firstLineChars="200" w:firstLine="562"/>
        <w:rPr>
          <w:rFonts w:ascii="Times New Roman" w:eastAsia="仿宋_GB2312" w:hAnsi="Times New Roman" w:cs="Times New Roman"/>
          <w:bCs/>
          <w:kern w:val="0"/>
          <w:sz w:val="28"/>
          <w:szCs w:val="28"/>
        </w:rPr>
      </w:pPr>
      <w:r w:rsidRPr="00E95B6F">
        <w:rPr>
          <w:rFonts w:ascii="Times New Roman" w:eastAsia="仿宋_GB2312" w:hAnsi="Times New Roman" w:cs="Times New Roman"/>
          <w:b/>
          <w:kern w:val="0"/>
          <w:sz w:val="28"/>
          <w:szCs w:val="28"/>
        </w:rPr>
        <w:t>监测频次：</w:t>
      </w:r>
      <w:r w:rsidRPr="00E95B6F">
        <w:rPr>
          <w:rFonts w:ascii="Times New Roman" w:eastAsia="仿宋_GB2312" w:hAnsi="Times New Roman" w:cs="Times New Roman"/>
          <w:kern w:val="0"/>
          <w:sz w:val="28"/>
          <w:szCs w:val="28"/>
        </w:rPr>
        <w:t>：每年</w:t>
      </w:r>
      <w:r w:rsidRPr="00E95B6F">
        <w:rPr>
          <w:rFonts w:ascii="Times New Roman" w:eastAsia="仿宋_GB2312" w:hAnsi="Times New Roman" w:cs="Times New Roman"/>
          <w:kern w:val="0"/>
          <w:sz w:val="28"/>
          <w:szCs w:val="28"/>
        </w:rPr>
        <w:t>1~4</w:t>
      </w:r>
      <w:r w:rsidRPr="00E95B6F">
        <w:rPr>
          <w:rFonts w:ascii="Times New Roman" w:eastAsia="仿宋_GB2312" w:hAnsi="Times New Roman" w:cs="Times New Roman"/>
          <w:kern w:val="0"/>
          <w:sz w:val="28"/>
          <w:szCs w:val="28"/>
        </w:rPr>
        <w:t>次</w:t>
      </w:r>
      <w:r w:rsidRPr="00E95B6F">
        <w:rPr>
          <w:rFonts w:ascii="Times New Roman" w:eastAsia="仿宋_GB2312" w:hAnsi="Times New Roman" w:cs="Times New Roman"/>
          <w:bCs/>
          <w:kern w:val="0"/>
          <w:sz w:val="28"/>
          <w:szCs w:val="28"/>
        </w:rPr>
        <w:t>。</w:t>
      </w:r>
    </w:p>
    <w:p w14:paraId="5D7586D7" w14:textId="77777777" w:rsidR="00CF1F5E" w:rsidRPr="00E95B6F" w:rsidRDefault="00CF1F5E" w:rsidP="00CF1F5E">
      <w:pPr>
        <w:spacing w:afterLines="50" w:after="156" w:line="540" w:lineRule="exact"/>
        <w:ind w:firstLineChars="196" w:firstLine="551"/>
        <w:rPr>
          <w:rFonts w:ascii="Times New Roman" w:eastAsia="仿宋_GB2312" w:hAnsi="Times New Roman" w:cs="Times New Roman"/>
          <w:b/>
          <w:sz w:val="28"/>
          <w:szCs w:val="28"/>
        </w:rPr>
      </w:pPr>
      <w:r w:rsidRPr="00E95B6F">
        <w:rPr>
          <w:rFonts w:ascii="Times New Roman" w:eastAsia="仿宋_GB2312" w:hAnsi="Times New Roman" w:cs="Times New Roman"/>
          <w:b/>
          <w:kern w:val="0"/>
          <w:sz w:val="28"/>
          <w:szCs w:val="28"/>
        </w:rPr>
        <w:t>评价标准：</w:t>
      </w:r>
      <w:r w:rsidRPr="00E95B6F">
        <w:rPr>
          <w:rFonts w:ascii="Times New Roman" w:eastAsia="仿宋_GB2312" w:hAnsi="Times New Roman" w:cs="Times New Roman"/>
          <w:bCs/>
          <w:kern w:val="0"/>
          <w:sz w:val="28"/>
          <w:szCs w:val="28"/>
        </w:rPr>
        <w:t>《火电厂大气污染物排放标准》（</w:t>
      </w:r>
      <w:r w:rsidRPr="00E95B6F">
        <w:rPr>
          <w:rFonts w:ascii="Times New Roman" w:eastAsia="仿宋_GB2312" w:hAnsi="Times New Roman" w:cs="Times New Roman"/>
          <w:bCs/>
          <w:kern w:val="0"/>
          <w:sz w:val="28"/>
          <w:szCs w:val="28"/>
        </w:rPr>
        <w:t>GB13223-2011</w:t>
      </w:r>
      <w:r w:rsidRPr="00E95B6F">
        <w:rPr>
          <w:rFonts w:ascii="Times New Roman" w:eastAsia="仿宋_GB2312" w:hAnsi="Times New Roman" w:cs="Times New Roman"/>
          <w:bCs/>
          <w:kern w:val="0"/>
          <w:sz w:val="28"/>
          <w:szCs w:val="28"/>
        </w:rPr>
        <w:t>）、</w:t>
      </w:r>
      <w:r w:rsidR="00091FD7" w:rsidRPr="00E95B6F">
        <w:rPr>
          <w:rFonts w:ascii="Times New Roman" w:eastAsia="仿宋_GB2312" w:hAnsi="Times New Roman" w:cs="Times New Roman"/>
          <w:bCs/>
          <w:kern w:val="0"/>
          <w:sz w:val="28"/>
          <w:szCs w:val="28"/>
        </w:rPr>
        <w:t>《燃煤电厂大气污染物排放标准》（</w:t>
      </w:r>
      <w:r w:rsidR="00091FD7" w:rsidRPr="00E95B6F">
        <w:rPr>
          <w:rFonts w:ascii="Times New Roman" w:eastAsia="仿宋_GB2312" w:hAnsi="Times New Roman" w:cs="Times New Roman"/>
          <w:bCs/>
          <w:kern w:val="0"/>
          <w:sz w:val="28"/>
          <w:szCs w:val="28"/>
        </w:rPr>
        <w:t>DB33/2147-2018</w:t>
      </w:r>
      <w:r w:rsidR="00091FD7" w:rsidRPr="00E95B6F">
        <w:rPr>
          <w:rFonts w:ascii="Times New Roman" w:eastAsia="仿宋_GB2312" w:hAnsi="Times New Roman" w:cs="Times New Roman"/>
          <w:bCs/>
          <w:kern w:val="0"/>
          <w:sz w:val="28"/>
          <w:szCs w:val="28"/>
        </w:rPr>
        <w:t>）</w:t>
      </w:r>
      <w:r w:rsidR="00C407E1"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《锅炉大气污染物排放标准》（</w:t>
      </w:r>
      <w:r w:rsidRPr="00E95B6F">
        <w:rPr>
          <w:rFonts w:ascii="Times New Roman" w:eastAsia="仿宋_GB2312" w:hAnsi="Times New Roman" w:cs="Times New Roman"/>
          <w:bCs/>
          <w:kern w:val="0"/>
          <w:sz w:val="28"/>
          <w:szCs w:val="28"/>
        </w:rPr>
        <w:t>GB13271-2014</w:t>
      </w:r>
      <w:r w:rsidRPr="00E95B6F">
        <w:rPr>
          <w:rFonts w:ascii="Times New Roman" w:eastAsia="仿宋_GB2312" w:hAnsi="Times New Roman" w:cs="Times New Roman"/>
          <w:bCs/>
          <w:kern w:val="0"/>
          <w:sz w:val="28"/>
          <w:szCs w:val="28"/>
        </w:rPr>
        <w:t>）、《水泥工业大气污染物排放标准》（</w:t>
      </w:r>
      <w:r w:rsidRPr="00E95B6F">
        <w:rPr>
          <w:rFonts w:ascii="Times New Roman" w:eastAsia="仿宋_GB2312" w:hAnsi="Times New Roman" w:cs="Times New Roman"/>
          <w:bCs/>
          <w:kern w:val="0"/>
          <w:sz w:val="28"/>
          <w:szCs w:val="28"/>
        </w:rPr>
        <w:t>GB4915-2013</w:t>
      </w:r>
      <w:r w:rsidRPr="00E95B6F">
        <w:rPr>
          <w:rFonts w:ascii="Times New Roman" w:eastAsia="仿宋_GB2312" w:hAnsi="Times New Roman" w:cs="Times New Roman"/>
          <w:bCs/>
          <w:kern w:val="0"/>
          <w:sz w:val="28"/>
          <w:szCs w:val="28"/>
        </w:rPr>
        <w:t>）、《大气污染物综合排放标准》（</w:t>
      </w:r>
      <w:r w:rsidRPr="00E95B6F">
        <w:rPr>
          <w:rFonts w:ascii="Times New Roman" w:eastAsia="仿宋_GB2312" w:hAnsi="Times New Roman" w:cs="Times New Roman"/>
          <w:bCs/>
          <w:kern w:val="0"/>
          <w:sz w:val="28"/>
          <w:szCs w:val="28"/>
        </w:rPr>
        <w:t>GB16297-1996</w:t>
      </w:r>
      <w:r w:rsidR="00091FD7" w:rsidRPr="00E95B6F">
        <w:rPr>
          <w:rFonts w:ascii="Times New Roman" w:eastAsia="仿宋_GB2312" w:hAnsi="Times New Roman" w:cs="Times New Roman"/>
          <w:bCs/>
          <w:kern w:val="0"/>
          <w:sz w:val="28"/>
          <w:szCs w:val="28"/>
        </w:rPr>
        <w:t>）、《生活垃圾焚烧污染控制标准》（</w:t>
      </w:r>
      <w:r w:rsidR="00091FD7" w:rsidRPr="00E95B6F">
        <w:rPr>
          <w:rFonts w:ascii="Times New Roman" w:eastAsia="仿宋_GB2312" w:hAnsi="Times New Roman" w:cs="Times New Roman"/>
          <w:bCs/>
          <w:kern w:val="0"/>
          <w:sz w:val="28"/>
          <w:szCs w:val="28"/>
        </w:rPr>
        <w:t>GB18485-2014</w:t>
      </w:r>
      <w:r w:rsidR="00091FD7"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等。</w:t>
      </w:r>
    </w:p>
    <w:p w14:paraId="00C2C62B" w14:textId="623229E2" w:rsidR="00CF1F5E" w:rsidRPr="00E95B6F" w:rsidRDefault="00CF1F5E" w:rsidP="00CF1F5E">
      <w:pPr>
        <w:spacing w:afterLines="50" w:after="156" w:line="540" w:lineRule="exact"/>
        <w:outlineLvl w:val="0"/>
        <w:rPr>
          <w:rFonts w:ascii="Times New Roman" w:eastAsia="黑体" w:hAnsi="Times New Roman" w:cs="Times New Roman"/>
          <w:b/>
          <w:bCs/>
          <w:kern w:val="0"/>
          <w:sz w:val="30"/>
          <w:szCs w:val="30"/>
        </w:rPr>
      </w:pPr>
      <w:r w:rsidRPr="00E95B6F">
        <w:rPr>
          <w:rFonts w:ascii="Times New Roman" w:hAnsi="Times New Roman" w:cs="Times New Roman"/>
        </w:rPr>
        <w:br w:type="page"/>
      </w:r>
      <w:bookmarkStart w:id="13" w:name="_Toc126401603"/>
      <w:r w:rsidRPr="00E95B6F">
        <w:rPr>
          <w:rFonts w:ascii="Times New Roman" w:eastAsia="黑体" w:hAnsi="Times New Roman" w:cs="Times New Roman"/>
          <w:b/>
          <w:bCs/>
          <w:kern w:val="0"/>
          <w:sz w:val="30"/>
          <w:szCs w:val="30"/>
        </w:rPr>
        <w:lastRenderedPageBreak/>
        <w:t>附录二：达标评价与达标率计算</w:t>
      </w:r>
      <w:bookmarkEnd w:id="13"/>
      <w:r w:rsidR="00EE0CAF">
        <w:rPr>
          <w:rFonts w:ascii="Times New Roman" w:eastAsia="黑体" w:hAnsi="Times New Roman" w:cs="Times New Roman" w:hint="eastAsia"/>
          <w:b/>
          <w:bCs/>
          <w:kern w:val="0"/>
          <w:sz w:val="30"/>
          <w:szCs w:val="30"/>
        </w:rPr>
        <w:t>方法</w:t>
      </w:r>
    </w:p>
    <w:p w14:paraId="4B390DDA" w14:textId="77777777" w:rsidR="00CF1F5E" w:rsidRPr="00E95B6F" w:rsidRDefault="004D40E2" w:rsidP="00CF1F5E">
      <w:pPr>
        <w:numPr>
          <w:ilvl w:val="0"/>
          <w:numId w:val="1"/>
        </w:numP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t>废水排污单位和废气</w:t>
      </w:r>
      <w:r w:rsidR="00CF1F5E" w:rsidRPr="00E95B6F">
        <w:rPr>
          <w:rFonts w:ascii="Times New Roman" w:eastAsia="仿宋_GB2312" w:hAnsi="Times New Roman" w:cs="Times New Roman"/>
          <w:b/>
          <w:bCs/>
          <w:kern w:val="0"/>
          <w:sz w:val="28"/>
          <w:szCs w:val="28"/>
        </w:rPr>
        <w:t>排污单位</w:t>
      </w:r>
    </w:p>
    <w:p w14:paraId="66D540CE" w14:textId="77777777" w:rsidR="00CF1F5E" w:rsidRPr="00E95B6F" w:rsidRDefault="00CF1F5E" w:rsidP="00CF1F5E">
      <w:pPr>
        <w:ind w:firstLineChars="200" w:firstLine="562"/>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1</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达标评价：</w:t>
      </w:r>
    </w:p>
    <w:p w14:paraId="1E24179F"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）监测点达标评价：一次监测结果中任一污染物浓度超过排放标准规定的限值，则该监测点本次监测不达标。</w:t>
      </w:r>
    </w:p>
    <w:p w14:paraId="69AB011B"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2</w:t>
      </w:r>
      <w:r w:rsidRPr="00E95B6F">
        <w:rPr>
          <w:rFonts w:ascii="Times New Roman" w:eastAsia="仿宋_GB2312" w:hAnsi="Times New Roman" w:cs="Times New Roman"/>
          <w:bCs/>
          <w:kern w:val="0"/>
          <w:sz w:val="28"/>
          <w:szCs w:val="28"/>
        </w:rPr>
        <w:t>）排污单位达标评价：一次监测结果中，任一排放口（排放设备）排放不达标，则该污染源本次监测不达标。</w:t>
      </w:r>
    </w:p>
    <w:p w14:paraId="60565A8C" w14:textId="77777777" w:rsidR="00CF1F5E" w:rsidRPr="00E95B6F" w:rsidRDefault="00CF1F5E" w:rsidP="00CF1F5E">
      <w:pPr>
        <w:ind w:firstLineChars="200" w:firstLine="562"/>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2</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达标率计算</w:t>
      </w:r>
    </w:p>
    <w:p w14:paraId="6BDCA2B8"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）单个排污单位达标率：评价时段内监测达标次数占监测总次数的百分比，计算公式为：</w:t>
      </w:r>
      <w:r w:rsidRPr="00E95B6F">
        <w:rPr>
          <w:rFonts w:ascii="Times New Roman" w:eastAsia="仿宋_GB2312" w:hAnsi="Times New Roman" w:cs="Times New Roman"/>
          <w:bCs/>
          <w:kern w:val="0"/>
          <w:sz w:val="28"/>
          <w:szCs w:val="28"/>
        </w:rPr>
        <w:object w:dxaOrig="1880" w:dyaOrig="340" w14:anchorId="30847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1.75pt" o:ole="">
            <v:imagedata r:id="rId25" o:title=""/>
          </v:shape>
          <o:OLEObject Type="Embed" ProgID="Equation.3" ShapeID="_x0000_i1025" DrawAspect="Content" ObjectID="_1768714347" r:id="rId26"/>
        </w:object>
      </w:r>
      <w:r w:rsidRPr="00E95B6F">
        <w:rPr>
          <w:rFonts w:ascii="Times New Roman" w:eastAsia="仿宋_GB2312" w:hAnsi="Times New Roman" w:cs="Times New Roman"/>
          <w:bCs/>
          <w:kern w:val="0"/>
          <w:sz w:val="28"/>
          <w:szCs w:val="28"/>
        </w:rPr>
        <w:t>，</w:t>
      </w:r>
    </w:p>
    <w:p w14:paraId="0A5B6256"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式中：</w:t>
      </w:r>
      <w:r w:rsidRPr="00E95B6F">
        <w:rPr>
          <w:rFonts w:ascii="Times New Roman" w:eastAsia="仿宋_GB2312" w:hAnsi="Times New Roman" w:cs="Times New Roman"/>
          <w:bCs/>
          <w:kern w:val="0"/>
          <w:sz w:val="28"/>
          <w:szCs w:val="28"/>
        </w:rPr>
        <w:t>E—</w:t>
      </w:r>
      <w:r w:rsidRPr="00E95B6F">
        <w:rPr>
          <w:rFonts w:ascii="Times New Roman" w:eastAsia="仿宋_GB2312" w:hAnsi="Times New Roman" w:cs="Times New Roman"/>
          <w:bCs/>
          <w:kern w:val="0"/>
          <w:sz w:val="28"/>
          <w:szCs w:val="28"/>
        </w:rPr>
        <w:t>单个评价对象达标率</w:t>
      </w:r>
    </w:p>
    <w:p w14:paraId="6ED82986" w14:textId="77777777" w:rsidR="00CF1F5E" w:rsidRPr="00E95B6F" w:rsidRDefault="00CF1F5E" w:rsidP="00CF1F5E">
      <w:pPr>
        <w:ind w:firstLineChars="500" w:firstLine="140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Ne—</w:t>
      </w:r>
      <w:r w:rsidRPr="00E95B6F">
        <w:rPr>
          <w:rFonts w:ascii="Times New Roman" w:eastAsia="仿宋_GB2312" w:hAnsi="Times New Roman" w:cs="Times New Roman"/>
          <w:bCs/>
          <w:kern w:val="0"/>
          <w:sz w:val="28"/>
          <w:szCs w:val="28"/>
        </w:rPr>
        <w:t>评价对象监测达标次数</w:t>
      </w:r>
    </w:p>
    <w:p w14:paraId="75BDE0EE" w14:textId="77777777" w:rsidR="00CF1F5E" w:rsidRPr="00E95B6F" w:rsidRDefault="00CF1F5E" w:rsidP="00CF1F5E">
      <w:pPr>
        <w:ind w:firstLineChars="500" w:firstLine="140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Nt—</w:t>
      </w:r>
      <w:r w:rsidRPr="00E95B6F">
        <w:rPr>
          <w:rFonts w:ascii="Times New Roman" w:eastAsia="仿宋_GB2312" w:hAnsi="Times New Roman" w:cs="Times New Roman"/>
          <w:bCs/>
          <w:kern w:val="0"/>
          <w:sz w:val="28"/>
          <w:szCs w:val="28"/>
        </w:rPr>
        <w:t>评价对象监测总次数</w:t>
      </w:r>
    </w:p>
    <w:p w14:paraId="106AEFFE"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2</w:t>
      </w:r>
      <w:r w:rsidRPr="00E95B6F">
        <w:rPr>
          <w:rFonts w:ascii="Times New Roman" w:eastAsia="仿宋_GB2312" w:hAnsi="Times New Roman" w:cs="Times New Roman"/>
          <w:bCs/>
          <w:kern w:val="0"/>
          <w:sz w:val="28"/>
          <w:szCs w:val="28"/>
        </w:rPr>
        <w:t>）设区市或全省达标率：评价区域内所有单个排污单位达标率的算术均值，计算公式为：</w:t>
      </w:r>
      <w:r w:rsidRPr="00E95B6F">
        <w:rPr>
          <w:rFonts w:ascii="Times New Roman" w:eastAsia="仿宋_GB2312" w:hAnsi="Times New Roman" w:cs="Times New Roman"/>
          <w:bCs/>
          <w:kern w:val="0"/>
          <w:sz w:val="28"/>
          <w:szCs w:val="28"/>
        </w:rPr>
        <w:object w:dxaOrig="1300" w:dyaOrig="680" w14:anchorId="65CD3FE6">
          <v:shape id="_x0000_i1026" type="#_x0000_t75" style="width:62.25pt;height:33pt" o:ole="">
            <v:imagedata r:id="rId27" o:title=""/>
          </v:shape>
          <o:OLEObject Type="Embed" ProgID="Equation.3" ShapeID="_x0000_i1026" DrawAspect="Content" ObjectID="_1768714348" r:id="rId28"/>
        </w:object>
      </w:r>
      <w:r w:rsidRPr="00E95B6F">
        <w:rPr>
          <w:rFonts w:ascii="Times New Roman" w:eastAsia="仿宋_GB2312" w:hAnsi="Times New Roman" w:cs="Times New Roman"/>
          <w:bCs/>
          <w:kern w:val="0"/>
          <w:sz w:val="28"/>
          <w:szCs w:val="28"/>
        </w:rPr>
        <w:t>，</w:t>
      </w:r>
    </w:p>
    <w:p w14:paraId="71859B8B"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式中：</w:t>
      </w:r>
      <w:r w:rsidRPr="00E95B6F">
        <w:rPr>
          <w:rFonts w:ascii="Times New Roman" w:eastAsia="仿宋_GB2312" w:hAnsi="Times New Roman" w:cs="Times New Roman"/>
          <w:bCs/>
          <w:kern w:val="0"/>
          <w:sz w:val="28"/>
          <w:szCs w:val="28"/>
        </w:rPr>
        <w:t>D—</w:t>
      </w:r>
      <w:r w:rsidRPr="00E95B6F">
        <w:rPr>
          <w:rFonts w:ascii="Times New Roman" w:eastAsia="仿宋_GB2312" w:hAnsi="Times New Roman" w:cs="Times New Roman"/>
          <w:bCs/>
          <w:kern w:val="0"/>
          <w:sz w:val="28"/>
          <w:szCs w:val="28"/>
        </w:rPr>
        <w:t>评价区域的评价对象达标率</w:t>
      </w:r>
    </w:p>
    <w:p w14:paraId="2DAD0D25" w14:textId="77777777" w:rsidR="00CF1F5E" w:rsidRPr="00E95B6F" w:rsidRDefault="00CF1F5E" w:rsidP="00CF1F5E">
      <w:pPr>
        <w:ind w:firstLineChars="500" w:firstLine="140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E</w:t>
      </w:r>
      <w:r w:rsidRPr="00E95B6F">
        <w:rPr>
          <w:rFonts w:ascii="Times New Roman" w:eastAsia="仿宋_GB2312" w:hAnsi="Times New Roman" w:cs="Times New Roman"/>
          <w:bCs/>
          <w:kern w:val="0"/>
          <w:sz w:val="28"/>
          <w:szCs w:val="28"/>
          <w:vertAlign w:val="subscript"/>
        </w:rPr>
        <w:t>i</w:t>
      </w: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第</w:t>
      </w:r>
      <w:r w:rsidRPr="00E95B6F">
        <w:rPr>
          <w:rFonts w:ascii="Times New Roman" w:eastAsia="仿宋_GB2312" w:hAnsi="Times New Roman" w:cs="Times New Roman"/>
          <w:bCs/>
          <w:kern w:val="0"/>
          <w:sz w:val="28"/>
          <w:szCs w:val="28"/>
        </w:rPr>
        <w:t>i</w:t>
      </w:r>
      <w:r w:rsidRPr="00E95B6F">
        <w:rPr>
          <w:rFonts w:ascii="Times New Roman" w:eastAsia="仿宋_GB2312" w:hAnsi="Times New Roman" w:cs="Times New Roman"/>
          <w:bCs/>
          <w:kern w:val="0"/>
          <w:sz w:val="28"/>
          <w:szCs w:val="28"/>
        </w:rPr>
        <w:t>个评价对象达标率</w:t>
      </w:r>
    </w:p>
    <w:p w14:paraId="62DE22C6" w14:textId="77777777" w:rsidR="00CF1F5E" w:rsidRPr="00E95B6F" w:rsidRDefault="00CF1F5E" w:rsidP="00CF1F5E">
      <w:pPr>
        <w:ind w:leftChars="268" w:left="563" w:firstLineChars="300" w:firstLine="84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n—</w:t>
      </w:r>
      <w:r w:rsidRPr="00E95B6F">
        <w:rPr>
          <w:rFonts w:ascii="Times New Roman" w:eastAsia="仿宋_GB2312" w:hAnsi="Times New Roman" w:cs="Times New Roman"/>
          <w:bCs/>
          <w:kern w:val="0"/>
          <w:sz w:val="28"/>
          <w:szCs w:val="28"/>
        </w:rPr>
        <w:t>评价区域内参与评价的评价对象数量</w:t>
      </w:r>
    </w:p>
    <w:p w14:paraId="7EE8FA11" w14:textId="77777777" w:rsidR="00CF1F5E" w:rsidRPr="00E95B6F" w:rsidRDefault="00CF1F5E" w:rsidP="00CF1F5E">
      <w:pPr>
        <w:rPr>
          <w:rFonts w:ascii="Times New Roman" w:hAnsi="Times New Roman" w:cs="Times New Roman"/>
          <w:b/>
        </w:rPr>
      </w:pPr>
      <w:r w:rsidRPr="00E95B6F">
        <w:rPr>
          <w:rFonts w:ascii="Times New Roman" w:hAnsi="Times New Roman" w:cs="Times New Roman"/>
        </w:rPr>
        <w:t xml:space="preserve">   </w:t>
      </w:r>
    </w:p>
    <w:p w14:paraId="4ACE4CD8" w14:textId="77777777" w:rsidR="00CF1F5E" w:rsidRPr="00E95B6F" w:rsidRDefault="00CF1F5E" w:rsidP="00CF1F5E">
      <w:pP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t>二、污水处理厂</w:t>
      </w:r>
    </w:p>
    <w:p w14:paraId="6766DF3F" w14:textId="77777777" w:rsidR="00CF1F5E" w:rsidRPr="00E95B6F" w:rsidRDefault="00CF1F5E" w:rsidP="00CF1F5E">
      <w:pPr>
        <w:spacing w:beforeLines="50" w:before="156" w:line="500" w:lineRule="exact"/>
        <w:ind w:firstLineChars="196" w:firstLine="551"/>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1</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达标评价</w:t>
      </w:r>
    </w:p>
    <w:p w14:paraId="708F597D" w14:textId="77777777" w:rsidR="00CF1F5E" w:rsidRPr="00E95B6F" w:rsidRDefault="00CF1F5E" w:rsidP="00CF1F5E">
      <w:pPr>
        <w:spacing w:line="500" w:lineRule="exact"/>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）一次监测结果中任一污染物平均浓度超过排放标准规定的</w:t>
      </w:r>
      <w:r w:rsidRPr="00E95B6F">
        <w:rPr>
          <w:rFonts w:ascii="Times New Roman" w:eastAsia="仿宋_GB2312" w:hAnsi="Times New Roman" w:cs="Times New Roman"/>
          <w:bCs/>
          <w:kern w:val="0"/>
          <w:sz w:val="28"/>
          <w:szCs w:val="28"/>
        </w:rPr>
        <w:lastRenderedPageBreak/>
        <w:t>限值，则该污水处理厂此次监测结果判定为不达标。</w:t>
      </w:r>
    </w:p>
    <w:p w14:paraId="4668F5F0" w14:textId="77777777" w:rsidR="00CF1F5E" w:rsidRPr="00E95B6F" w:rsidRDefault="00CF1F5E" w:rsidP="00CF1F5E">
      <w:pPr>
        <w:spacing w:line="500" w:lineRule="exact"/>
        <w:ind w:firstLineChars="196" w:firstLine="549"/>
        <w:rPr>
          <w:rFonts w:ascii="Times New Roman" w:eastAsia="仿宋_GB2312" w:hAnsi="Times New Roman" w:cs="Times New Roman"/>
          <w:b/>
          <w:kern w:val="0"/>
          <w:sz w:val="28"/>
          <w:szCs w:val="28"/>
        </w:rPr>
      </w:pPr>
      <w:r w:rsidRPr="00E95B6F">
        <w:rPr>
          <w:rFonts w:ascii="Times New Roman" w:eastAsia="仿宋_GB2312" w:hAnsi="Times New Roman" w:cs="Times New Roman"/>
          <w:kern w:val="0"/>
          <w:sz w:val="28"/>
          <w:szCs w:val="28"/>
        </w:rPr>
        <w:t>（</w:t>
      </w:r>
      <w:r w:rsidRPr="00E95B6F">
        <w:rPr>
          <w:rFonts w:ascii="Times New Roman" w:eastAsia="仿宋_GB2312" w:hAnsi="Times New Roman" w:cs="Times New Roman"/>
          <w:kern w:val="0"/>
          <w:sz w:val="28"/>
          <w:szCs w:val="28"/>
        </w:rPr>
        <w:t>2</w:t>
      </w:r>
      <w:r w:rsidRPr="00E95B6F">
        <w:rPr>
          <w:rFonts w:ascii="Times New Roman" w:eastAsia="仿宋_GB2312" w:hAnsi="Times New Roman" w:cs="Times New Roman"/>
          <w:kern w:val="0"/>
          <w:sz w:val="28"/>
          <w:szCs w:val="28"/>
        </w:rPr>
        <w:t>）</w:t>
      </w:r>
      <w:r w:rsidRPr="00E95B6F">
        <w:rPr>
          <w:rFonts w:ascii="Times New Roman" w:eastAsia="仿宋_GB2312" w:hAnsi="Times New Roman" w:cs="Times New Roman"/>
          <w:bCs/>
          <w:kern w:val="0"/>
          <w:sz w:val="28"/>
          <w:szCs w:val="28"/>
        </w:rPr>
        <w:t>评价方式为按照本期开展的全部监测指标评价</w:t>
      </w:r>
      <w:r w:rsidRPr="00E95B6F">
        <w:rPr>
          <w:rFonts w:ascii="Times New Roman" w:eastAsia="仿宋_GB2312" w:hAnsi="Times New Roman" w:cs="Times New Roman"/>
          <w:spacing w:val="-2"/>
          <w:sz w:val="28"/>
        </w:rPr>
        <w:t>。</w:t>
      </w:r>
    </w:p>
    <w:p w14:paraId="43AFD6D2" w14:textId="77777777" w:rsidR="00CF1F5E" w:rsidRPr="00E95B6F" w:rsidRDefault="00CF1F5E" w:rsidP="00CF1F5E">
      <w:pPr>
        <w:spacing w:beforeLines="50" w:before="156" w:line="500" w:lineRule="exact"/>
        <w:ind w:firstLineChars="196" w:firstLine="551"/>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2</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达标率计算</w:t>
      </w:r>
    </w:p>
    <w:p w14:paraId="4BD11FF0" w14:textId="77777777" w:rsidR="00CF1F5E" w:rsidRPr="00E95B6F" w:rsidRDefault="00CF1F5E" w:rsidP="00CF1F5E">
      <w:pPr>
        <w:spacing w:line="500" w:lineRule="exact"/>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）单家污水处理厂达标率：评价时段内各次监测达标水量之和占各次实际处理水量之和的百分比，计算公式为：</w:t>
      </w:r>
    </w:p>
    <w:p w14:paraId="30C31860" w14:textId="77777777" w:rsidR="00CF1F5E" w:rsidRPr="00E95B6F" w:rsidRDefault="00CF1F5E" w:rsidP="00CF1F5E">
      <w:pPr>
        <w:spacing w:beforeLines="50" w:before="156"/>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position w:val="-60"/>
          <w:sz w:val="28"/>
          <w:szCs w:val="28"/>
        </w:rPr>
        <w:object w:dxaOrig="1880" w:dyaOrig="1320" w14:anchorId="0E195152">
          <v:shape id="_x0000_i1027" type="#_x0000_t75" style="width:96.75pt;height:71.25pt" o:ole="">
            <v:imagedata r:id="rId29" o:title=""/>
          </v:shape>
          <o:OLEObject Type="Embed" ProgID="Equation.3" ShapeID="_x0000_i1027" DrawAspect="Content" ObjectID="_1768714349" r:id="rId30"/>
        </w:object>
      </w:r>
      <w:r w:rsidRPr="00E95B6F">
        <w:rPr>
          <w:rFonts w:ascii="Times New Roman" w:eastAsia="仿宋_GB2312" w:hAnsi="Times New Roman" w:cs="Times New Roman"/>
          <w:bCs/>
          <w:kern w:val="0"/>
          <w:sz w:val="28"/>
          <w:szCs w:val="28"/>
        </w:rPr>
        <w:t>，</w:t>
      </w:r>
    </w:p>
    <w:p w14:paraId="478ADAB7" w14:textId="77777777" w:rsidR="00CF1F5E" w:rsidRPr="00E95B6F" w:rsidRDefault="00CF1F5E" w:rsidP="00CF1F5E">
      <w:pPr>
        <w:spacing w:line="300" w:lineRule="exact"/>
        <w:ind w:firstLineChars="600" w:firstLine="144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式中：</w:t>
      </w:r>
      <w:r w:rsidRPr="00E95B6F">
        <w:rPr>
          <w:rFonts w:ascii="Times New Roman" w:eastAsia="仿宋_GB2312" w:hAnsi="Times New Roman" w:cs="Times New Roman"/>
          <w:bCs/>
          <w:kern w:val="0"/>
          <w:sz w:val="24"/>
        </w:rPr>
        <w:t>E —</w:t>
      </w:r>
      <w:r w:rsidRPr="00E95B6F">
        <w:rPr>
          <w:rFonts w:ascii="Times New Roman" w:eastAsia="仿宋_GB2312" w:hAnsi="Times New Roman" w:cs="Times New Roman"/>
          <w:bCs/>
          <w:kern w:val="0"/>
          <w:sz w:val="24"/>
        </w:rPr>
        <w:t>单个评价对象达标率</w:t>
      </w:r>
    </w:p>
    <w:p w14:paraId="34F56F08" w14:textId="77777777" w:rsidR="00CF1F5E" w:rsidRPr="00E95B6F" w:rsidRDefault="00CF1F5E" w:rsidP="00CF1F5E">
      <w:pPr>
        <w:spacing w:line="300" w:lineRule="exact"/>
        <w:ind w:firstLineChars="900" w:firstLine="216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达</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评价对象单次监测达标水量</w:t>
      </w:r>
    </w:p>
    <w:p w14:paraId="46B1437F" w14:textId="77777777" w:rsidR="00CF1F5E" w:rsidRPr="00E95B6F" w:rsidRDefault="00CF1F5E" w:rsidP="00CF1F5E">
      <w:pPr>
        <w:spacing w:line="300" w:lineRule="exact"/>
        <w:ind w:firstLineChars="900" w:firstLine="2160"/>
        <w:rPr>
          <w:rFonts w:ascii="Times New Roman" w:eastAsia="仿宋_GB2312" w:hAnsi="Times New Roman" w:cs="Times New Roman"/>
          <w:bCs/>
          <w:kern w:val="0"/>
          <w:szCs w:val="21"/>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实</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评价对象单次实际处理水量</w:t>
      </w:r>
    </w:p>
    <w:p w14:paraId="197744D1" w14:textId="77777777" w:rsidR="00CF1F5E" w:rsidRPr="00E95B6F" w:rsidRDefault="00CF1F5E" w:rsidP="00CF1F5E">
      <w:pPr>
        <w:spacing w:beforeLines="50" w:before="156" w:line="500" w:lineRule="exact"/>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2</w:t>
      </w:r>
      <w:r w:rsidRPr="00E95B6F">
        <w:rPr>
          <w:rFonts w:ascii="Times New Roman" w:eastAsia="仿宋_GB2312" w:hAnsi="Times New Roman" w:cs="Times New Roman"/>
          <w:bCs/>
          <w:kern w:val="0"/>
          <w:sz w:val="28"/>
          <w:szCs w:val="28"/>
        </w:rPr>
        <w:t>）区域达标率：评价区域内各污水处理厂监测达标水量之和占各污水处理厂日均实际处理水量之和的百分比，计算公式为：</w:t>
      </w:r>
    </w:p>
    <w:p w14:paraId="0F97CC10" w14:textId="77777777" w:rsidR="00CF1F5E" w:rsidRPr="00E95B6F" w:rsidRDefault="00CF1F5E" w:rsidP="00CF1F5E">
      <w:pPr>
        <w:spacing w:beforeLines="50" w:before="156"/>
        <w:ind w:firstLineChars="200" w:firstLine="560"/>
        <w:rPr>
          <w:rFonts w:ascii="Times New Roman" w:eastAsia="仿宋_GB2312" w:hAnsi="Times New Roman" w:cs="Times New Roman"/>
          <w:bCs/>
          <w:kern w:val="0"/>
          <w:sz w:val="28"/>
          <w:szCs w:val="28"/>
        </w:rPr>
      </w:pPr>
      <w:r w:rsidRPr="00E95B6F">
        <w:rPr>
          <w:rFonts w:ascii="Times New Roman" w:hAnsi="Times New Roman" w:cs="Times New Roman"/>
          <w:position w:val="-60"/>
          <w:sz w:val="28"/>
          <w:szCs w:val="28"/>
        </w:rPr>
        <w:object w:dxaOrig="1920" w:dyaOrig="1320" w14:anchorId="7C516671">
          <v:shape id="_x0000_i1028" type="#_x0000_t75" style="width:95.25pt;height:63.75pt" o:ole="">
            <v:imagedata r:id="rId31" o:title=""/>
          </v:shape>
          <o:OLEObject Type="Embed" ProgID="Equation.3" ShapeID="_x0000_i1028" DrawAspect="Content" ObjectID="_1768714350" r:id="rId32"/>
        </w:object>
      </w:r>
      <w:r w:rsidRPr="00E95B6F">
        <w:rPr>
          <w:rFonts w:ascii="Times New Roman" w:eastAsia="仿宋_GB2312" w:hAnsi="Times New Roman" w:cs="Times New Roman"/>
          <w:bCs/>
          <w:kern w:val="0"/>
          <w:sz w:val="28"/>
          <w:szCs w:val="28"/>
        </w:rPr>
        <w:t>，</w:t>
      </w:r>
    </w:p>
    <w:p w14:paraId="4D7C35E3" w14:textId="77777777" w:rsidR="00CF1F5E" w:rsidRPr="00E95B6F" w:rsidRDefault="00CF1F5E" w:rsidP="00CF1F5E">
      <w:pPr>
        <w:spacing w:line="300" w:lineRule="exact"/>
        <w:ind w:firstLineChars="200" w:firstLine="48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式中：</w:t>
      </w:r>
      <w:r w:rsidRPr="00E95B6F">
        <w:rPr>
          <w:rFonts w:ascii="Times New Roman" w:eastAsia="仿宋_GB2312" w:hAnsi="Times New Roman" w:cs="Times New Roman"/>
          <w:bCs/>
          <w:kern w:val="0"/>
          <w:sz w:val="24"/>
        </w:rPr>
        <w:t>D—</w:t>
      </w:r>
      <w:r w:rsidRPr="00E95B6F">
        <w:rPr>
          <w:rFonts w:ascii="Times New Roman" w:eastAsia="仿宋_GB2312" w:hAnsi="Times New Roman" w:cs="Times New Roman"/>
          <w:bCs/>
          <w:kern w:val="0"/>
          <w:sz w:val="24"/>
        </w:rPr>
        <w:t>评价区域的评价对象达标率</w:t>
      </w:r>
    </w:p>
    <w:p w14:paraId="312C2885" w14:textId="77777777" w:rsidR="00CF1F5E" w:rsidRPr="00E95B6F" w:rsidRDefault="00CF1F5E" w:rsidP="00CF1F5E">
      <w:pPr>
        <w:spacing w:line="300" w:lineRule="exact"/>
        <w:ind w:firstLineChars="500" w:firstLine="120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达</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评价区域的评价对象监测达标水量，</w:t>
      </w: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达＝</w:t>
      </w:r>
      <w:r w:rsidRPr="00E95B6F">
        <w:rPr>
          <w:rFonts w:ascii="Times New Roman" w:eastAsia="仿宋_GB2312" w:hAnsi="Times New Roman" w:cs="Times New Roman"/>
          <w:bCs/>
          <w:kern w:val="0"/>
          <w:sz w:val="24"/>
        </w:rPr>
        <w:t>E×Q</w:t>
      </w:r>
      <w:r w:rsidRPr="00E95B6F">
        <w:rPr>
          <w:rFonts w:ascii="Times New Roman" w:eastAsia="仿宋_GB2312" w:hAnsi="Times New Roman" w:cs="Times New Roman"/>
          <w:bCs/>
          <w:kern w:val="0"/>
          <w:sz w:val="24"/>
        </w:rPr>
        <w:t>实。</w:t>
      </w:r>
    </w:p>
    <w:p w14:paraId="061B551B" w14:textId="77777777" w:rsidR="00CF1F5E" w:rsidRPr="00E95B6F" w:rsidRDefault="00CF1F5E" w:rsidP="00CF1F5E">
      <w:pPr>
        <w:ind w:firstLineChars="200" w:firstLine="480"/>
        <w:rPr>
          <w:rFonts w:ascii="Times New Roman" w:hAnsi="Times New Roman" w:cs="Times New Roman"/>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实</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评价区域的评价对象实际处理水量日均值，</w:t>
      </w:r>
      <w:r w:rsidRPr="00E95B6F">
        <w:rPr>
          <w:rFonts w:ascii="Times New Roman" w:hAnsi="Times New Roman" w:cs="Times New Roman"/>
          <w:position w:val="-24"/>
          <w:sz w:val="28"/>
          <w:szCs w:val="28"/>
        </w:rPr>
        <w:object w:dxaOrig="1280" w:dyaOrig="960" w14:anchorId="59D3EAF8">
          <v:shape id="_x0000_i1029" type="#_x0000_t75" style="width:63pt;height:47.25pt" o:ole="">
            <v:imagedata r:id="rId33" o:title=""/>
          </v:shape>
          <o:OLEObject Type="Embed" ProgID="Equation.3" ShapeID="_x0000_i1029" DrawAspect="Content" ObjectID="_1768714351" r:id="rId34"/>
        </w:object>
      </w:r>
      <w:r w:rsidRPr="00E95B6F">
        <w:rPr>
          <w:rFonts w:ascii="Times New Roman" w:eastAsia="仿宋_GB2312" w:hAnsi="Times New Roman" w:cs="Times New Roman"/>
          <w:bCs/>
          <w:kern w:val="0"/>
          <w:sz w:val="24"/>
        </w:rPr>
        <w:t>。</w:t>
      </w:r>
    </w:p>
    <w:sectPr w:rsidR="00CF1F5E" w:rsidRPr="00E95B6F" w:rsidSect="008E5890">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A7AC5" w14:textId="77777777" w:rsidR="00D273E8" w:rsidRDefault="00D273E8" w:rsidP="00030508">
      <w:r>
        <w:separator/>
      </w:r>
    </w:p>
  </w:endnote>
  <w:endnote w:type="continuationSeparator" w:id="0">
    <w:p w14:paraId="4035ED5B" w14:textId="77777777" w:rsidR="00D273E8" w:rsidRDefault="00D273E8" w:rsidP="0003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7A6F1" w14:textId="7EB0849E" w:rsidR="008C49B5" w:rsidRDefault="008C49B5">
    <w:pPr>
      <w:pStyle w:val="a9"/>
      <w:jc w:val="center"/>
    </w:pPr>
  </w:p>
  <w:p w14:paraId="621F6868" w14:textId="427ADAF5" w:rsidR="008C49B5" w:rsidRPr="00CE5A9B" w:rsidRDefault="008C49B5" w:rsidP="00CE5A9B">
    <w:pPr>
      <w:pStyle w:val="a7"/>
      <w:pBdr>
        <w:bottom w:val="none" w:sz="0" w:space="0" w:color="auto"/>
      </w:pBdr>
      <w:jc w:val="both"/>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542935"/>
      <w:docPartObj>
        <w:docPartGallery w:val="Page Numbers (Bottom of Page)"/>
        <w:docPartUnique/>
      </w:docPartObj>
    </w:sdtPr>
    <w:sdtEndPr/>
    <w:sdtContent>
      <w:p w14:paraId="70CA4BE0" w14:textId="28D6BD54" w:rsidR="008C49B5" w:rsidRDefault="008C49B5">
        <w:pPr>
          <w:pStyle w:val="a9"/>
          <w:jc w:val="center"/>
        </w:pPr>
        <w:r>
          <w:fldChar w:fldCharType="begin"/>
        </w:r>
        <w:r>
          <w:instrText>PAGE   \* MERGEFORMAT</w:instrText>
        </w:r>
        <w:r>
          <w:fldChar w:fldCharType="separate"/>
        </w:r>
        <w:r w:rsidR="00BD6EB4" w:rsidRPr="00BD6EB4">
          <w:rPr>
            <w:noProof/>
            <w:lang w:val="zh-CN"/>
          </w:rPr>
          <w:t>i</w:t>
        </w:r>
        <w:r>
          <w:fldChar w:fldCharType="end"/>
        </w:r>
      </w:p>
    </w:sdtContent>
  </w:sdt>
  <w:p w14:paraId="1BCDD23A" w14:textId="77777777" w:rsidR="008C49B5" w:rsidRPr="00CE5A9B" w:rsidRDefault="008C49B5" w:rsidP="00CE5A9B">
    <w:pPr>
      <w:pStyle w:val="a7"/>
      <w:pBdr>
        <w:bottom w:val="none" w:sz="0" w:space="0" w:color="auto"/>
      </w:pBdr>
      <w:jc w:val="both"/>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974647"/>
      <w:docPartObj>
        <w:docPartGallery w:val="Page Numbers (Bottom of Page)"/>
        <w:docPartUnique/>
      </w:docPartObj>
    </w:sdtPr>
    <w:sdtEndPr/>
    <w:sdtContent>
      <w:p w14:paraId="2056D412" w14:textId="131ABD19" w:rsidR="008C49B5" w:rsidRDefault="008C49B5">
        <w:pPr>
          <w:pStyle w:val="a9"/>
          <w:jc w:val="center"/>
        </w:pPr>
        <w:r w:rsidRPr="00E471FD">
          <w:rPr>
            <w:rFonts w:ascii="Times New Roman" w:hAnsi="Times New Roman" w:cs="Times New Roman"/>
          </w:rPr>
          <w:fldChar w:fldCharType="begin"/>
        </w:r>
        <w:r w:rsidRPr="00E471FD">
          <w:rPr>
            <w:rFonts w:ascii="Times New Roman" w:hAnsi="Times New Roman" w:cs="Times New Roman"/>
          </w:rPr>
          <w:instrText>PAGE   \* MERGEFORMAT</w:instrText>
        </w:r>
        <w:r w:rsidRPr="00E471FD">
          <w:rPr>
            <w:rFonts w:ascii="Times New Roman" w:hAnsi="Times New Roman" w:cs="Times New Roman"/>
          </w:rPr>
          <w:fldChar w:fldCharType="separate"/>
        </w:r>
        <w:r w:rsidR="00BD6EB4" w:rsidRPr="00BD6EB4">
          <w:rPr>
            <w:rFonts w:ascii="Times New Roman" w:hAnsi="Times New Roman" w:cs="Times New Roman"/>
            <w:noProof/>
            <w:lang w:val="zh-CN"/>
          </w:rPr>
          <w:t>17</w:t>
        </w:r>
        <w:r w:rsidRPr="00E471FD">
          <w:rPr>
            <w:rFonts w:ascii="Times New Roman" w:hAnsi="Times New Roman" w:cs="Times New Roman"/>
          </w:rPr>
          <w:fldChar w:fldCharType="end"/>
        </w:r>
      </w:p>
    </w:sdtContent>
  </w:sdt>
  <w:p w14:paraId="3E1276FA" w14:textId="77777777" w:rsidR="008C49B5" w:rsidRPr="00CE5A9B" w:rsidRDefault="008C49B5" w:rsidP="00CE5A9B">
    <w:pPr>
      <w:pStyle w:val="a7"/>
      <w:pBdr>
        <w:bottom w:val="none" w:sz="0" w:space="0" w:color="auto"/>
      </w:pBdr>
      <w:jc w:val="both"/>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4FA82" w14:textId="77777777" w:rsidR="00D273E8" w:rsidRDefault="00D273E8" w:rsidP="00030508">
      <w:r>
        <w:separator/>
      </w:r>
    </w:p>
  </w:footnote>
  <w:footnote w:type="continuationSeparator" w:id="0">
    <w:p w14:paraId="037A109C" w14:textId="77777777" w:rsidR="00D273E8" w:rsidRDefault="00D273E8" w:rsidP="0003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B2137"/>
    <w:multiLevelType w:val="hybridMultilevel"/>
    <w:tmpl w:val="CE368502"/>
    <w:lvl w:ilvl="0" w:tplc="DB4EBF26">
      <w:start w:val="1"/>
      <w:numFmt w:val="japaneseCounting"/>
      <w:lvlText w:val="%1、"/>
      <w:lvlJc w:val="left"/>
      <w:pPr>
        <w:tabs>
          <w:tab w:val="num" w:pos="1282"/>
        </w:tabs>
        <w:ind w:left="1282" w:hanging="720"/>
      </w:pPr>
      <w:rPr>
        <w:rFonts w:cs="Times New Roman" w:hint="default"/>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B4"/>
    <w:rsid w:val="00001ABC"/>
    <w:rsid w:val="0000325E"/>
    <w:rsid w:val="00003FE8"/>
    <w:rsid w:val="00004475"/>
    <w:rsid w:val="000048CC"/>
    <w:rsid w:val="00004C7D"/>
    <w:rsid w:val="00005053"/>
    <w:rsid w:val="0000664C"/>
    <w:rsid w:val="000076A9"/>
    <w:rsid w:val="0000789E"/>
    <w:rsid w:val="0001040F"/>
    <w:rsid w:val="00010D9F"/>
    <w:rsid w:val="00011625"/>
    <w:rsid w:val="000122D7"/>
    <w:rsid w:val="00012972"/>
    <w:rsid w:val="00014D99"/>
    <w:rsid w:val="00014E45"/>
    <w:rsid w:val="0001502E"/>
    <w:rsid w:val="000155B4"/>
    <w:rsid w:val="00015953"/>
    <w:rsid w:val="00017AA8"/>
    <w:rsid w:val="00017B7C"/>
    <w:rsid w:val="00017E5F"/>
    <w:rsid w:val="000229CC"/>
    <w:rsid w:val="00026441"/>
    <w:rsid w:val="00026BFA"/>
    <w:rsid w:val="00030508"/>
    <w:rsid w:val="0003088C"/>
    <w:rsid w:val="00032B34"/>
    <w:rsid w:val="0003402E"/>
    <w:rsid w:val="000361F5"/>
    <w:rsid w:val="0003623C"/>
    <w:rsid w:val="0003630E"/>
    <w:rsid w:val="0003758F"/>
    <w:rsid w:val="00037F7F"/>
    <w:rsid w:val="000416EA"/>
    <w:rsid w:val="0004180D"/>
    <w:rsid w:val="000426C0"/>
    <w:rsid w:val="00043150"/>
    <w:rsid w:val="00043201"/>
    <w:rsid w:val="00043AF4"/>
    <w:rsid w:val="000455E6"/>
    <w:rsid w:val="000456A3"/>
    <w:rsid w:val="00046200"/>
    <w:rsid w:val="00046E07"/>
    <w:rsid w:val="0004745B"/>
    <w:rsid w:val="00047B8A"/>
    <w:rsid w:val="00047BB9"/>
    <w:rsid w:val="00047F7A"/>
    <w:rsid w:val="000507D7"/>
    <w:rsid w:val="000513AD"/>
    <w:rsid w:val="00051907"/>
    <w:rsid w:val="000538EC"/>
    <w:rsid w:val="0005427C"/>
    <w:rsid w:val="00054582"/>
    <w:rsid w:val="00054F30"/>
    <w:rsid w:val="0005574A"/>
    <w:rsid w:val="00055A2C"/>
    <w:rsid w:val="000566BA"/>
    <w:rsid w:val="000605E3"/>
    <w:rsid w:val="000607A2"/>
    <w:rsid w:val="00060803"/>
    <w:rsid w:val="00060B00"/>
    <w:rsid w:val="0006111F"/>
    <w:rsid w:val="0006113D"/>
    <w:rsid w:val="00061D39"/>
    <w:rsid w:val="00062F04"/>
    <w:rsid w:val="000644B4"/>
    <w:rsid w:val="00064F8B"/>
    <w:rsid w:val="000652A1"/>
    <w:rsid w:val="00066A00"/>
    <w:rsid w:val="0006710B"/>
    <w:rsid w:val="00067124"/>
    <w:rsid w:val="000709AF"/>
    <w:rsid w:val="000722CB"/>
    <w:rsid w:val="00074F18"/>
    <w:rsid w:val="00075095"/>
    <w:rsid w:val="00075F79"/>
    <w:rsid w:val="00076120"/>
    <w:rsid w:val="000769C0"/>
    <w:rsid w:val="00077327"/>
    <w:rsid w:val="00077AAB"/>
    <w:rsid w:val="00077E6D"/>
    <w:rsid w:val="00080097"/>
    <w:rsid w:val="00080BE2"/>
    <w:rsid w:val="0008129B"/>
    <w:rsid w:val="00081699"/>
    <w:rsid w:val="00081D08"/>
    <w:rsid w:val="000833D3"/>
    <w:rsid w:val="0008494D"/>
    <w:rsid w:val="0008502B"/>
    <w:rsid w:val="000852DE"/>
    <w:rsid w:val="00085560"/>
    <w:rsid w:val="00086403"/>
    <w:rsid w:val="0008787D"/>
    <w:rsid w:val="00087E0A"/>
    <w:rsid w:val="000903EC"/>
    <w:rsid w:val="00091092"/>
    <w:rsid w:val="000912BC"/>
    <w:rsid w:val="00091AC3"/>
    <w:rsid w:val="00091FD7"/>
    <w:rsid w:val="00092112"/>
    <w:rsid w:val="00092930"/>
    <w:rsid w:val="00092B3F"/>
    <w:rsid w:val="00093E7A"/>
    <w:rsid w:val="00095882"/>
    <w:rsid w:val="000967F9"/>
    <w:rsid w:val="00097B25"/>
    <w:rsid w:val="000A0B75"/>
    <w:rsid w:val="000A127E"/>
    <w:rsid w:val="000A16BA"/>
    <w:rsid w:val="000A1DA3"/>
    <w:rsid w:val="000A1DC8"/>
    <w:rsid w:val="000A25CE"/>
    <w:rsid w:val="000A2DEA"/>
    <w:rsid w:val="000A43D0"/>
    <w:rsid w:val="000A4C93"/>
    <w:rsid w:val="000A53B0"/>
    <w:rsid w:val="000A57F3"/>
    <w:rsid w:val="000A5853"/>
    <w:rsid w:val="000A5E91"/>
    <w:rsid w:val="000A697C"/>
    <w:rsid w:val="000A6E0B"/>
    <w:rsid w:val="000A71B3"/>
    <w:rsid w:val="000A71F2"/>
    <w:rsid w:val="000A776C"/>
    <w:rsid w:val="000A78BE"/>
    <w:rsid w:val="000B03E9"/>
    <w:rsid w:val="000B1447"/>
    <w:rsid w:val="000B26B1"/>
    <w:rsid w:val="000B2DD2"/>
    <w:rsid w:val="000B3455"/>
    <w:rsid w:val="000B4E04"/>
    <w:rsid w:val="000B5A02"/>
    <w:rsid w:val="000B5D6A"/>
    <w:rsid w:val="000B7CC2"/>
    <w:rsid w:val="000C15BC"/>
    <w:rsid w:val="000C2175"/>
    <w:rsid w:val="000C23B9"/>
    <w:rsid w:val="000C2C77"/>
    <w:rsid w:val="000C32E3"/>
    <w:rsid w:val="000C3B97"/>
    <w:rsid w:val="000C4042"/>
    <w:rsid w:val="000C49C6"/>
    <w:rsid w:val="000C522A"/>
    <w:rsid w:val="000C599A"/>
    <w:rsid w:val="000C645D"/>
    <w:rsid w:val="000C6713"/>
    <w:rsid w:val="000C6E0A"/>
    <w:rsid w:val="000C71AB"/>
    <w:rsid w:val="000C7A06"/>
    <w:rsid w:val="000D0A91"/>
    <w:rsid w:val="000D0CAA"/>
    <w:rsid w:val="000D1A76"/>
    <w:rsid w:val="000D1B53"/>
    <w:rsid w:val="000D2ED0"/>
    <w:rsid w:val="000D5A19"/>
    <w:rsid w:val="000D5D58"/>
    <w:rsid w:val="000D701A"/>
    <w:rsid w:val="000D766D"/>
    <w:rsid w:val="000E0179"/>
    <w:rsid w:val="000E0F30"/>
    <w:rsid w:val="000E2B4E"/>
    <w:rsid w:val="000E41DB"/>
    <w:rsid w:val="000E612C"/>
    <w:rsid w:val="000E657C"/>
    <w:rsid w:val="000F333C"/>
    <w:rsid w:val="000F4B9F"/>
    <w:rsid w:val="000F5BCE"/>
    <w:rsid w:val="000F5BD7"/>
    <w:rsid w:val="000F6C31"/>
    <w:rsid w:val="000F772F"/>
    <w:rsid w:val="00100FD9"/>
    <w:rsid w:val="001016F9"/>
    <w:rsid w:val="001027C7"/>
    <w:rsid w:val="001035CB"/>
    <w:rsid w:val="001064D5"/>
    <w:rsid w:val="00106BAA"/>
    <w:rsid w:val="00107131"/>
    <w:rsid w:val="00107E43"/>
    <w:rsid w:val="00112F2E"/>
    <w:rsid w:val="00113024"/>
    <w:rsid w:val="00113869"/>
    <w:rsid w:val="00115194"/>
    <w:rsid w:val="00116188"/>
    <w:rsid w:val="001163EB"/>
    <w:rsid w:val="00117482"/>
    <w:rsid w:val="00120184"/>
    <w:rsid w:val="0012039E"/>
    <w:rsid w:val="00120677"/>
    <w:rsid w:val="00120A37"/>
    <w:rsid w:val="00121522"/>
    <w:rsid w:val="0012157C"/>
    <w:rsid w:val="00122297"/>
    <w:rsid w:val="00122B2D"/>
    <w:rsid w:val="00123606"/>
    <w:rsid w:val="0012370F"/>
    <w:rsid w:val="00124A8E"/>
    <w:rsid w:val="0012592C"/>
    <w:rsid w:val="00125B37"/>
    <w:rsid w:val="00126285"/>
    <w:rsid w:val="001317A6"/>
    <w:rsid w:val="00131F27"/>
    <w:rsid w:val="00134AA1"/>
    <w:rsid w:val="00134FF4"/>
    <w:rsid w:val="00135449"/>
    <w:rsid w:val="001367F8"/>
    <w:rsid w:val="00136B35"/>
    <w:rsid w:val="001373F0"/>
    <w:rsid w:val="0013797A"/>
    <w:rsid w:val="00137BB2"/>
    <w:rsid w:val="00141C3D"/>
    <w:rsid w:val="00141C91"/>
    <w:rsid w:val="0014465D"/>
    <w:rsid w:val="0014470A"/>
    <w:rsid w:val="00144ED7"/>
    <w:rsid w:val="00145F04"/>
    <w:rsid w:val="00146D3B"/>
    <w:rsid w:val="001470F7"/>
    <w:rsid w:val="001471C7"/>
    <w:rsid w:val="00147D72"/>
    <w:rsid w:val="001505C2"/>
    <w:rsid w:val="0015337D"/>
    <w:rsid w:val="001534F4"/>
    <w:rsid w:val="00153B7A"/>
    <w:rsid w:val="00155ADA"/>
    <w:rsid w:val="00156809"/>
    <w:rsid w:val="0015718E"/>
    <w:rsid w:val="00157A27"/>
    <w:rsid w:val="001667F1"/>
    <w:rsid w:val="00166DBF"/>
    <w:rsid w:val="00167607"/>
    <w:rsid w:val="00170485"/>
    <w:rsid w:val="001709AE"/>
    <w:rsid w:val="00170A45"/>
    <w:rsid w:val="00170DD2"/>
    <w:rsid w:val="00171605"/>
    <w:rsid w:val="00172449"/>
    <w:rsid w:val="00173E0A"/>
    <w:rsid w:val="001761CF"/>
    <w:rsid w:val="0017620E"/>
    <w:rsid w:val="00176C2D"/>
    <w:rsid w:val="00177E49"/>
    <w:rsid w:val="00180518"/>
    <w:rsid w:val="00180B7F"/>
    <w:rsid w:val="00181CA1"/>
    <w:rsid w:val="00182697"/>
    <w:rsid w:val="00182A74"/>
    <w:rsid w:val="00182FAB"/>
    <w:rsid w:val="001830A7"/>
    <w:rsid w:val="0018343B"/>
    <w:rsid w:val="00183DA8"/>
    <w:rsid w:val="001856E2"/>
    <w:rsid w:val="00185B4A"/>
    <w:rsid w:val="001863D2"/>
    <w:rsid w:val="0019192F"/>
    <w:rsid w:val="0019278C"/>
    <w:rsid w:val="00192844"/>
    <w:rsid w:val="00193331"/>
    <w:rsid w:val="00194169"/>
    <w:rsid w:val="001944E8"/>
    <w:rsid w:val="001952AD"/>
    <w:rsid w:val="001953FF"/>
    <w:rsid w:val="001962FE"/>
    <w:rsid w:val="00196C04"/>
    <w:rsid w:val="00197062"/>
    <w:rsid w:val="00197298"/>
    <w:rsid w:val="00197845"/>
    <w:rsid w:val="00197BC3"/>
    <w:rsid w:val="001A03A4"/>
    <w:rsid w:val="001A058A"/>
    <w:rsid w:val="001A1C75"/>
    <w:rsid w:val="001A2A39"/>
    <w:rsid w:val="001A30A7"/>
    <w:rsid w:val="001A4620"/>
    <w:rsid w:val="001A4DA3"/>
    <w:rsid w:val="001A6F94"/>
    <w:rsid w:val="001B07AC"/>
    <w:rsid w:val="001B22E7"/>
    <w:rsid w:val="001B2CB1"/>
    <w:rsid w:val="001B35B3"/>
    <w:rsid w:val="001B424A"/>
    <w:rsid w:val="001B471C"/>
    <w:rsid w:val="001B5017"/>
    <w:rsid w:val="001B67EA"/>
    <w:rsid w:val="001B765A"/>
    <w:rsid w:val="001C09B1"/>
    <w:rsid w:val="001C28B9"/>
    <w:rsid w:val="001C2A6D"/>
    <w:rsid w:val="001C339C"/>
    <w:rsid w:val="001C4603"/>
    <w:rsid w:val="001C5103"/>
    <w:rsid w:val="001C5EDD"/>
    <w:rsid w:val="001C66D3"/>
    <w:rsid w:val="001C7566"/>
    <w:rsid w:val="001C7702"/>
    <w:rsid w:val="001C7896"/>
    <w:rsid w:val="001D0571"/>
    <w:rsid w:val="001D08F4"/>
    <w:rsid w:val="001D0AB9"/>
    <w:rsid w:val="001D0E6C"/>
    <w:rsid w:val="001D1301"/>
    <w:rsid w:val="001D1912"/>
    <w:rsid w:val="001D1D77"/>
    <w:rsid w:val="001D2DDE"/>
    <w:rsid w:val="001D3AA3"/>
    <w:rsid w:val="001D682F"/>
    <w:rsid w:val="001D68F7"/>
    <w:rsid w:val="001E00B1"/>
    <w:rsid w:val="001E0CE5"/>
    <w:rsid w:val="001E1A62"/>
    <w:rsid w:val="001E42B9"/>
    <w:rsid w:val="001E491C"/>
    <w:rsid w:val="001E5634"/>
    <w:rsid w:val="001E7E8D"/>
    <w:rsid w:val="001F0663"/>
    <w:rsid w:val="001F0815"/>
    <w:rsid w:val="001F2395"/>
    <w:rsid w:val="001F25D9"/>
    <w:rsid w:val="001F2B84"/>
    <w:rsid w:val="001F2DE5"/>
    <w:rsid w:val="001F3012"/>
    <w:rsid w:val="001F3D95"/>
    <w:rsid w:val="001F5205"/>
    <w:rsid w:val="001F71C9"/>
    <w:rsid w:val="002001D1"/>
    <w:rsid w:val="002002AD"/>
    <w:rsid w:val="00201497"/>
    <w:rsid w:val="0020206F"/>
    <w:rsid w:val="0020255F"/>
    <w:rsid w:val="00202E90"/>
    <w:rsid w:val="002032BF"/>
    <w:rsid w:val="002042BE"/>
    <w:rsid w:val="00204E43"/>
    <w:rsid w:val="00205431"/>
    <w:rsid w:val="0020721A"/>
    <w:rsid w:val="002077CB"/>
    <w:rsid w:val="00207E77"/>
    <w:rsid w:val="002109FC"/>
    <w:rsid w:val="002114DF"/>
    <w:rsid w:val="00211957"/>
    <w:rsid w:val="00211CA0"/>
    <w:rsid w:val="00211FB9"/>
    <w:rsid w:val="00213A67"/>
    <w:rsid w:val="00213ECF"/>
    <w:rsid w:val="00217F64"/>
    <w:rsid w:val="002216CA"/>
    <w:rsid w:val="00221939"/>
    <w:rsid w:val="0022206B"/>
    <w:rsid w:val="00223791"/>
    <w:rsid w:val="00226F04"/>
    <w:rsid w:val="002272DA"/>
    <w:rsid w:val="002274EA"/>
    <w:rsid w:val="00230394"/>
    <w:rsid w:val="002303B6"/>
    <w:rsid w:val="00230FA8"/>
    <w:rsid w:val="00232148"/>
    <w:rsid w:val="002337E3"/>
    <w:rsid w:val="0023448A"/>
    <w:rsid w:val="00234D6D"/>
    <w:rsid w:val="00235120"/>
    <w:rsid w:val="00236B04"/>
    <w:rsid w:val="00240750"/>
    <w:rsid w:val="0024205E"/>
    <w:rsid w:val="00243655"/>
    <w:rsid w:val="0024428E"/>
    <w:rsid w:val="00244883"/>
    <w:rsid w:val="00244E1C"/>
    <w:rsid w:val="00246051"/>
    <w:rsid w:val="00246F04"/>
    <w:rsid w:val="002514F3"/>
    <w:rsid w:val="00251BE0"/>
    <w:rsid w:val="00252259"/>
    <w:rsid w:val="002528A9"/>
    <w:rsid w:val="00252AC9"/>
    <w:rsid w:val="00252C72"/>
    <w:rsid w:val="00252ED1"/>
    <w:rsid w:val="00254F7B"/>
    <w:rsid w:val="002552A3"/>
    <w:rsid w:val="002552F4"/>
    <w:rsid w:val="00256257"/>
    <w:rsid w:val="0026034D"/>
    <w:rsid w:val="0026200B"/>
    <w:rsid w:val="00262781"/>
    <w:rsid w:val="00263AF5"/>
    <w:rsid w:val="00263B82"/>
    <w:rsid w:val="00265B46"/>
    <w:rsid w:val="00266A6D"/>
    <w:rsid w:val="00266D01"/>
    <w:rsid w:val="002672DC"/>
    <w:rsid w:val="002677B0"/>
    <w:rsid w:val="00267EC0"/>
    <w:rsid w:val="002726BC"/>
    <w:rsid w:val="002732F9"/>
    <w:rsid w:val="002742BE"/>
    <w:rsid w:val="002747F6"/>
    <w:rsid w:val="002749BD"/>
    <w:rsid w:val="00274AC2"/>
    <w:rsid w:val="00274E2F"/>
    <w:rsid w:val="0027555D"/>
    <w:rsid w:val="00276B2C"/>
    <w:rsid w:val="00276B76"/>
    <w:rsid w:val="00276CC5"/>
    <w:rsid w:val="00280FF3"/>
    <w:rsid w:val="00281D49"/>
    <w:rsid w:val="00281FE6"/>
    <w:rsid w:val="00282098"/>
    <w:rsid w:val="002826F4"/>
    <w:rsid w:val="00283D28"/>
    <w:rsid w:val="002844C2"/>
    <w:rsid w:val="002860BB"/>
    <w:rsid w:val="00286C0F"/>
    <w:rsid w:val="002874FE"/>
    <w:rsid w:val="002915F5"/>
    <w:rsid w:val="00291620"/>
    <w:rsid w:val="002925F4"/>
    <w:rsid w:val="00292D4F"/>
    <w:rsid w:val="002930BE"/>
    <w:rsid w:val="0029474A"/>
    <w:rsid w:val="00294D55"/>
    <w:rsid w:val="00295F91"/>
    <w:rsid w:val="00296127"/>
    <w:rsid w:val="00297318"/>
    <w:rsid w:val="00297BE0"/>
    <w:rsid w:val="002A0213"/>
    <w:rsid w:val="002A03F0"/>
    <w:rsid w:val="002A0CBB"/>
    <w:rsid w:val="002A1128"/>
    <w:rsid w:val="002A2EC2"/>
    <w:rsid w:val="002A2FB4"/>
    <w:rsid w:val="002A3D7B"/>
    <w:rsid w:val="002A40E9"/>
    <w:rsid w:val="002A43A6"/>
    <w:rsid w:val="002A4820"/>
    <w:rsid w:val="002A511F"/>
    <w:rsid w:val="002A52E0"/>
    <w:rsid w:val="002A6202"/>
    <w:rsid w:val="002A6B9D"/>
    <w:rsid w:val="002A6FF5"/>
    <w:rsid w:val="002A7099"/>
    <w:rsid w:val="002A7D11"/>
    <w:rsid w:val="002A7E0B"/>
    <w:rsid w:val="002B1702"/>
    <w:rsid w:val="002B1A6F"/>
    <w:rsid w:val="002B2FEA"/>
    <w:rsid w:val="002B316C"/>
    <w:rsid w:val="002B3795"/>
    <w:rsid w:val="002B55D8"/>
    <w:rsid w:val="002B5646"/>
    <w:rsid w:val="002B68B5"/>
    <w:rsid w:val="002B72C3"/>
    <w:rsid w:val="002C06C5"/>
    <w:rsid w:val="002C0A27"/>
    <w:rsid w:val="002C0B23"/>
    <w:rsid w:val="002C19D9"/>
    <w:rsid w:val="002C1B29"/>
    <w:rsid w:val="002C22A9"/>
    <w:rsid w:val="002C308D"/>
    <w:rsid w:val="002C3116"/>
    <w:rsid w:val="002C39C5"/>
    <w:rsid w:val="002C3AD7"/>
    <w:rsid w:val="002C4834"/>
    <w:rsid w:val="002C4B35"/>
    <w:rsid w:val="002C7855"/>
    <w:rsid w:val="002D127D"/>
    <w:rsid w:val="002D1333"/>
    <w:rsid w:val="002D3603"/>
    <w:rsid w:val="002D4069"/>
    <w:rsid w:val="002D6769"/>
    <w:rsid w:val="002D6D70"/>
    <w:rsid w:val="002D73A9"/>
    <w:rsid w:val="002D7959"/>
    <w:rsid w:val="002E110A"/>
    <w:rsid w:val="002E183E"/>
    <w:rsid w:val="002E231D"/>
    <w:rsid w:val="002E376F"/>
    <w:rsid w:val="002E49A5"/>
    <w:rsid w:val="002E5E97"/>
    <w:rsid w:val="002E6FDB"/>
    <w:rsid w:val="002E7A9D"/>
    <w:rsid w:val="002F1DF2"/>
    <w:rsid w:val="002F1E02"/>
    <w:rsid w:val="002F2645"/>
    <w:rsid w:val="002F33F1"/>
    <w:rsid w:val="002F34D5"/>
    <w:rsid w:val="002F38DE"/>
    <w:rsid w:val="002F3C69"/>
    <w:rsid w:val="002F43A3"/>
    <w:rsid w:val="002F49A4"/>
    <w:rsid w:val="002F521E"/>
    <w:rsid w:val="002F5525"/>
    <w:rsid w:val="002F5560"/>
    <w:rsid w:val="002F56FD"/>
    <w:rsid w:val="002F6F5F"/>
    <w:rsid w:val="002F7E89"/>
    <w:rsid w:val="003001D6"/>
    <w:rsid w:val="00301477"/>
    <w:rsid w:val="003014B9"/>
    <w:rsid w:val="00302DDA"/>
    <w:rsid w:val="00302E48"/>
    <w:rsid w:val="00303141"/>
    <w:rsid w:val="00303F5C"/>
    <w:rsid w:val="003042CB"/>
    <w:rsid w:val="003043CB"/>
    <w:rsid w:val="00304E7D"/>
    <w:rsid w:val="00304EFD"/>
    <w:rsid w:val="00304FC4"/>
    <w:rsid w:val="00305C4D"/>
    <w:rsid w:val="003060B4"/>
    <w:rsid w:val="00306276"/>
    <w:rsid w:val="00310D4C"/>
    <w:rsid w:val="003111B9"/>
    <w:rsid w:val="003121EE"/>
    <w:rsid w:val="00313541"/>
    <w:rsid w:val="003135D6"/>
    <w:rsid w:val="00313C0B"/>
    <w:rsid w:val="003152A5"/>
    <w:rsid w:val="00315B2B"/>
    <w:rsid w:val="00317502"/>
    <w:rsid w:val="003177BF"/>
    <w:rsid w:val="00322836"/>
    <w:rsid w:val="0032370C"/>
    <w:rsid w:val="0032435D"/>
    <w:rsid w:val="00325C12"/>
    <w:rsid w:val="0032657D"/>
    <w:rsid w:val="00327EFE"/>
    <w:rsid w:val="00330423"/>
    <w:rsid w:val="00331110"/>
    <w:rsid w:val="003311D1"/>
    <w:rsid w:val="003311E0"/>
    <w:rsid w:val="00331961"/>
    <w:rsid w:val="0033199B"/>
    <w:rsid w:val="003328FF"/>
    <w:rsid w:val="0033411E"/>
    <w:rsid w:val="00334A38"/>
    <w:rsid w:val="003350E4"/>
    <w:rsid w:val="00336046"/>
    <w:rsid w:val="003366D3"/>
    <w:rsid w:val="00337682"/>
    <w:rsid w:val="00337FB1"/>
    <w:rsid w:val="003408CD"/>
    <w:rsid w:val="00340C1E"/>
    <w:rsid w:val="00341E93"/>
    <w:rsid w:val="003429F1"/>
    <w:rsid w:val="00343AFF"/>
    <w:rsid w:val="00343E16"/>
    <w:rsid w:val="00344643"/>
    <w:rsid w:val="00344F75"/>
    <w:rsid w:val="0034575F"/>
    <w:rsid w:val="00345B95"/>
    <w:rsid w:val="00347058"/>
    <w:rsid w:val="003472F1"/>
    <w:rsid w:val="0035139A"/>
    <w:rsid w:val="00351F32"/>
    <w:rsid w:val="00351FB8"/>
    <w:rsid w:val="00352597"/>
    <w:rsid w:val="00352840"/>
    <w:rsid w:val="00354672"/>
    <w:rsid w:val="003550CA"/>
    <w:rsid w:val="0035519D"/>
    <w:rsid w:val="00355BB1"/>
    <w:rsid w:val="00360142"/>
    <w:rsid w:val="0036046B"/>
    <w:rsid w:val="003609D9"/>
    <w:rsid w:val="00363B5B"/>
    <w:rsid w:val="00365A52"/>
    <w:rsid w:val="00366CAC"/>
    <w:rsid w:val="00367433"/>
    <w:rsid w:val="00370244"/>
    <w:rsid w:val="003702BD"/>
    <w:rsid w:val="003705B6"/>
    <w:rsid w:val="00370A9F"/>
    <w:rsid w:val="00373037"/>
    <w:rsid w:val="003736E9"/>
    <w:rsid w:val="00373F08"/>
    <w:rsid w:val="00374963"/>
    <w:rsid w:val="00375F85"/>
    <w:rsid w:val="00376B52"/>
    <w:rsid w:val="00377EDC"/>
    <w:rsid w:val="003817C4"/>
    <w:rsid w:val="00381D8B"/>
    <w:rsid w:val="00381DDC"/>
    <w:rsid w:val="00383568"/>
    <w:rsid w:val="00384238"/>
    <w:rsid w:val="00384F28"/>
    <w:rsid w:val="00385308"/>
    <w:rsid w:val="00385FA4"/>
    <w:rsid w:val="00387871"/>
    <w:rsid w:val="00387985"/>
    <w:rsid w:val="0039088F"/>
    <w:rsid w:val="00391430"/>
    <w:rsid w:val="00391F41"/>
    <w:rsid w:val="00391F5A"/>
    <w:rsid w:val="003920F9"/>
    <w:rsid w:val="00392664"/>
    <w:rsid w:val="003927F6"/>
    <w:rsid w:val="00393D04"/>
    <w:rsid w:val="00393E46"/>
    <w:rsid w:val="003946FD"/>
    <w:rsid w:val="00394A71"/>
    <w:rsid w:val="00396C88"/>
    <w:rsid w:val="00396D1B"/>
    <w:rsid w:val="003976DF"/>
    <w:rsid w:val="0039780F"/>
    <w:rsid w:val="00397C2C"/>
    <w:rsid w:val="003A1EB1"/>
    <w:rsid w:val="003A214B"/>
    <w:rsid w:val="003A2CBB"/>
    <w:rsid w:val="003A2E83"/>
    <w:rsid w:val="003A4949"/>
    <w:rsid w:val="003A6A84"/>
    <w:rsid w:val="003A792E"/>
    <w:rsid w:val="003B0BA9"/>
    <w:rsid w:val="003B1BFE"/>
    <w:rsid w:val="003B1D2C"/>
    <w:rsid w:val="003B1D81"/>
    <w:rsid w:val="003B2749"/>
    <w:rsid w:val="003B33CC"/>
    <w:rsid w:val="003B35FF"/>
    <w:rsid w:val="003B4124"/>
    <w:rsid w:val="003B48AF"/>
    <w:rsid w:val="003B4C99"/>
    <w:rsid w:val="003B50E8"/>
    <w:rsid w:val="003B52F3"/>
    <w:rsid w:val="003B738B"/>
    <w:rsid w:val="003B7ED5"/>
    <w:rsid w:val="003B7FED"/>
    <w:rsid w:val="003C0B3F"/>
    <w:rsid w:val="003C1280"/>
    <w:rsid w:val="003C168C"/>
    <w:rsid w:val="003C1766"/>
    <w:rsid w:val="003C17A6"/>
    <w:rsid w:val="003C23CA"/>
    <w:rsid w:val="003C2952"/>
    <w:rsid w:val="003C3D23"/>
    <w:rsid w:val="003C416E"/>
    <w:rsid w:val="003C486F"/>
    <w:rsid w:val="003C627C"/>
    <w:rsid w:val="003C647A"/>
    <w:rsid w:val="003C7550"/>
    <w:rsid w:val="003D0B26"/>
    <w:rsid w:val="003D1318"/>
    <w:rsid w:val="003D1361"/>
    <w:rsid w:val="003D1C06"/>
    <w:rsid w:val="003D2BB3"/>
    <w:rsid w:val="003D30D8"/>
    <w:rsid w:val="003D4E16"/>
    <w:rsid w:val="003D4EB1"/>
    <w:rsid w:val="003D4EB4"/>
    <w:rsid w:val="003D523D"/>
    <w:rsid w:val="003D57C6"/>
    <w:rsid w:val="003D6172"/>
    <w:rsid w:val="003D659E"/>
    <w:rsid w:val="003E0AEB"/>
    <w:rsid w:val="003E1D28"/>
    <w:rsid w:val="003E2A26"/>
    <w:rsid w:val="003E2B5C"/>
    <w:rsid w:val="003E4010"/>
    <w:rsid w:val="003E4F80"/>
    <w:rsid w:val="003E5677"/>
    <w:rsid w:val="003E5A70"/>
    <w:rsid w:val="003E64AA"/>
    <w:rsid w:val="003E7FD1"/>
    <w:rsid w:val="003F0133"/>
    <w:rsid w:val="003F0180"/>
    <w:rsid w:val="003F0462"/>
    <w:rsid w:val="003F1319"/>
    <w:rsid w:val="003F2450"/>
    <w:rsid w:val="003F42B4"/>
    <w:rsid w:val="003F4ADD"/>
    <w:rsid w:val="00402CA5"/>
    <w:rsid w:val="0040674F"/>
    <w:rsid w:val="00407CAC"/>
    <w:rsid w:val="004104FD"/>
    <w:rsid w:val="00410751"/>
    <w:rsid w:val="0041107C"/>
    <w:rsid w:val="00412722"/>
    <w:rsid w:val="00413AD3"/>
    <w:rsid w:val="0041522C"/>
    <w:rsid w:val="004153D7"/>
    <w:rsid w:val="00415483"/>
    <w:rsid w:val="00416155"/>
    <w:rsid w:val="00416467"/>
    <w:rsid w:val="004164EF"/>
    <w:rsid w:val="00416E30"/>
    <w:rsid w:val="004208C9"/>
    <w:rsid w:val="00420B94"/>
    <w:rsid w:val="00420C91"/>
    <w:rsid w:val="00420FD7"/>
    <w:rsid w:val="004247BF"/>
    <w:rsid w:val="00424E79"/>
    <w:rsid w:val="004253E1"/>
    <w:rsid w:val="00427441"/>
    <w:rsid w:val="0042780D"/>
    <w:rsid w:val="00431156"/>
    <w:rsid w:val="00431B78"/>
    <w:rsid w:val="00431EB7"/>
    <w:rsid w:val="0043291D"/>
    <w:rsid w:val="00432D21"/>
    <w:rsid w:val="0043323C"/>
    <w:rsid w:val="00434900"/>
    <w:rsid w:val="00435A46"/>
    <w:rsid w:val="004369D6"/>
    <w:rsid w:val="004370D2"/>
    <w:rsid w:val="00437AF4"/>
    <w:rsid w:val="00437BE6"/>
    <w:rsid w:val="0044001D"/>
    <w:rsid w:val="004423F2"/>
    <w:rsid w:val="0044386B"/>
    <w:rsid w:val="00443B3F"/>
    <w:rsid w:val="00444034"/>
    <w:rsid w:val="00444539"/>
    <w:rsid w:val="004447DF"/>
    <w:rsid w:val="004447E6"/>
    <w:rsid w:val="004451E6"/>
    <w:rsid w:val="0044556A"/>
    <w:rsid w:val="00445E2C"/>
    <w:rsid w:val="00445E35"/>
    <w:rsid w:val="00446E6A"/>
    <w:rsid w:val="00447B18"/>
    <w:rsid w:val="00447E21"/>
    <w:rsid w:val="0045039D"/>
    <w:rsid w:val="0045049E"/>
    <w:rsid w:val="00450634"/>
    <w:rsid w:val="00450A3A"/>
    <w:rsid w:val="00450FF7"/>
    <w:rsid w:val="004517DC"/>
    <w:rsid w:val="0045218C"/>
    <w:rsid w:val="0045262B"/>
    <w:rsid w:val="00453281"/>
    <w:rsid w:val="0045383B"/>
    <w:rsid w:val="0045452F"/>
    <w:rsid w:val="0045528D"/>
    <w:rsid w:val="00455D3D"/>
    <w:rsid w:val="004562BA"/>
    <w:rsid w:val="004564D0"/>
    <w:rsid w:val="00456A79"/>
    <w:rsid w:val="00456B4D"/>
    <w:rsid w:val="0045775F"/>
    <w:rsid w:val="00457FBC"/>
    <w:rsid w:val="00460185"/>
    <w:rsid w:val="00460C39"/>
    <w:rsid w:val="00461074"/>
    <w:rsid w:val="00463482"/>
    <w:rsid w:val="00464AB2"/>
    <w:rsid w:val="00465263"/>
    <w:rsid w:val="004655DC"/>
    <w:rsid w:val="00465AF9"/>
    <w:rsid w:val="00465DD4"/>
    <w:rsid w:val="00466223"/>
    <w:rsid w:val="004663A7"/>
    <w:rsid w:val="00467117"/>
    <w:rsid w:val="004677EE"/>
    <w:rsid w:val="004701AB"/>
    <w:rsid w:val="00470A13"/>
    <w:rsid w:val="00470AD1"/>
    <w:rsid w:val="00470B15"/>
    <w:rsid w:val="004714DC"/>
    <w:rsid w:val="004721C6"/>
    <w:rsid w:val="0047471B"/>
    <w:rsid w:val="00475968"/>
    <w:rsid w:val="00477D34"/>
    <w:rsid w:val="0048031E"/>
    <w:rsid w:val="00481119"/>
    <w:rsid w:val="0048154A"/>
    <w:rsid w:val="004827DB"/>
    <w:rsid w:val="00482E19"/>
    <w:rsid w:val="0048314D"/>
    <w:rsid w:val="004840CF"/>
    <w:rsid w:val="00485917"/>
    <w:rsid w:val="00485D78"/>
    <w:rsid w:val="00486BA0"/>
    <w:rsid w:val="0048705A"/>
    <w:rsid w:val="00487706"/>
    <w:rsid w:val="00487C27"/>
    <w:rsid w:val="0049026E"/>
    <w:rsid w:val="004907FE"/>
    <w:rsid w:val="00491084"/>
    <w:rsid w:val="00492160"/>
    <w:rsid w:val="0049366D"/>
    <w:rsid w:val="00493B46"/>
    <w:rsid w:val="00495F13"/>
    <w:rsid w:val="0049610E"/>
    <w:rsid w:val="0049639A"/>
    <w:rsid w:val="00496496"/>
    <w:rsid w:val="00496B63"/>
    <w:rsid w:val="004971A8"/>
    <w:rsid w:val="00497C2C"/>
    <w:rsid w:val="004A0411"/>
    <w:rsid w:val="004A38D9"/>
    <w:rsid w:val="004A417C"/>
    <w:rsid w:val="004A53A4"/>
    <w:rsid w:val="004A7F0A"/>
    <w:rsid w:val="004A7F7F"/>
    <w:rsid w:val="004B05B5"/>
    <w:rsid w:val="004B1195"/>
    <w:rsid w:val="004B1F0C"/>
    <w:rsid w:val="004B2268"/>
    <w:rsid w:val="004B4711"/>
    <w:rsid w:val="004B5B07"/>
    <w:rsid w:val="004B696E"/>
    <w:rsid w:val="004C06F6"/>
    <w:rsid w:val="004C0D36"/>
    <w:rsid w:val="004C1E56"/>
    <w:rsid w:val="004C22A4"/>
    <w:rsid w:val="004C24F1"/>
    <w:rsid w:val="004C27C6"/>
    <w:rsid w:val="004C28BC"/>
    <w:rsid w:val="004C54F2"/>
    <w:rsid w:val="004D40E2"/>
    <w:rsid w:val="004D4874"/>
    <w:rsid w:val="004D4B2A"/>
    <w:rsid w:val="004D6239"/>
    <w:rsid w:val="004D71F7"/>
    <w:rsid w:val="004D7429"/>
    <w:rsid w:val="004D7B90"/>
    <w:rsid w:val="004E03A7"/>
    <w:rsid w:val="004E0497"/>
    <w:rsid w:val="004E06EF"/>
    <w:rsid w:val="004E29FC"/>
    <w:rsid w:val="004E2C66"/>
    <w:rsid w:val="004E4BBB"/>
    <w:rsid w:val="004E4EC5"/>
    <w:rsid w:val="004E6D28"/>
    <w:rsid w:val="004E7582"/>
    <w:rsid w:val="004E7E12"/>
    <w:rsid w:val="004F02E2"/>
    <w:rsid w:val="004F048E"/>
    <w:rsid w:val="004F0821"/>
    <w:rsid w:val="004F19D9"/>
    <w:rsid w:val="004F28C6"/>
    <w:rsid w:val="004F5761"/>
    <w:rsid w:val="004F6085"/>
    <w:rsid w:val="004F6160"/>
    <w:rsid w:val="004F6DE9"/>
    <w:rsid w:val="00502596"/>
    <w:rsid w:val="00502A84"/>
    <w:rsid w:val="00502EFB"/>
    <w:rsid w:val="00503A65"/>
    <w:rsid w:val="00503D5F"/>
    <w:rsid w:val="00504111"/>
    <w:rsid w:val="005047AD"/>
    <w:rsid w:val="005048C4"/>
    <w:rsid w:val="0050536C"/>
    <w:rsid w:val="005054EA"/>
    <w:rsid w:val="00507EDA"/>
    <w:rsid w:val="00510CE5"/>
    <w:rsid w:val="00512484"/>
    <w:rsid w:val="0051283D"/>
    <w:rsid w:val="005136F1"/>
    <w:rsid w:val="00513BD6"/>
    <w:rsid w:val="00513C4D"/>
    <w:rsid w:val="00515C6D"/>
    <w:rsid w:val="00516985"/>
    <w:rsid w:val="00517259"/>
    <w:rsid w:val="005172D3"/>
    <w:rsid w:val="00517315"/>
    <w:rsid w:val="00520104"/>
    <w:rsid w:val="00522841"/>
    <w:rsid w:val="00523F48"/>
    <w:rsid w:val="0052467A"/>
    <w:rsid w:val="00524A00"/>
    <w:rsid w:val="005254C7"/>
    <w:rsid w:val="0053261A"/>
    <w:rsid w:val="00532C2A"/>
    <w:rsid w:val="005345FD"/>
    <w:rsid w:val="00534732"/>
    <w:rsid w:val="00535CEA"/>
    <w:rsid w:val="005360AF"/>
    <w:rsid w:val="00536834"/>
    <w:rsid w:val="00537045"/>
    <w:rsid w:val="00537699"/>
    <w:rsid w:val="00537EF9"/>
    <w:rsid w:val="00542D71"/>
    <w:rsid w:val="00544078"/>
    <w:rsid w:val="005448F8"/>
    <w:rsid w:val="0054499C"/>
    <w:rsid w:val="005449A8"/>
    <w:rsid w:val="0054547C"/>
    <w:rsid w:val="005464AE"/>
    <w:rsid w:val="005466FB"/>
    <w:rsid w:val="00546D23"/>
    <w:rsid w:val="00547462"/>
    <w:rsid w:val="00547844"/>
    <w:rsid w:val="005503DE"/>
    <w:rsid w:val="005510F2"/>
    <w:rsid w:val="00551791"/>
    <w:rsid w:val="0055226D"/>
    <w:rsid w:val="0055268B"/>
    <w:rsid w:val="0055274C"/>
    <w:rsid w:val="00553589"/>
    <w:rsid w:val="0055361C"/>
    <w:rsid w:val="00553CC6"/>
    <w:rsid w:val="00554DFD"/>
    <w:rsid w:val="005554D5"/>
    <w:rsid w:val="00555EC1"/>
    <w:rsid w:val="00556442"/>
    <w:rsid w:val="005565D9"/>
    <w:rsid w:val="00560D9E"/>
    <w:rsid w:val="00561097"/>
    <w:rsid w:val="005619D1"/>
    <w:rsid w:val="00561FBE"/>
    <w:rsid w:val="0056260A"/>
    <w:rsid w:val="00562780"/>
    <w:rsid w:val="00563C84"/>
    <w:rsid w:val="00563CBA"/>
    <w:rsid w:val="00564002"/>
    <w:rsid w:val="00564BBD"/>
    <w:rsid w:val="00564C7C"/>
    <w:rsid w:val="005651A0"/>
    <w:rsid w:val="00565294"/>
    <w:rsid w:val="00566B38"/>
    <w:rsid w:val="00566F4B"/>
    <w:rsid w:val="00573564"/>
    <w:rsid w:val="00573837"/>
    <w:rsid w:val="00574A8C"/>
    <w:rsid w:val="00574E58"/>
    <w:rsid w:val="0057687D"/>
    <w:rsid w:val="00576AB1"/>
    <w:rsid w:val="00576C50"/>
    <w:rsid w:val="005803D7"/>
    <w:rsid w:val="0058054D"/>
    <w:rsid w:val="00580E7C"/>
    <w:rsid w:val="00580EAE"/>
    <w:rsid w:val="00580F9D"/>
    <w:rsid w:val="00581C7E"/>
    <w:rsid w:val="00581ECC"/>
    <w:rsid w:val="00582195"/>
    <w:rsid w:val="005823B9"/>
    <w:rsid w:val="00583679"/>
    <w:rsid w:val="0058528E"/>
    <w:rsid w:val="00585BE9"/>
    <w:rsid w:val="0058600A"/>
    <w:rsid w:val="00586620"/>
    <w:rsid w:val="0058674A"/>
    <w:rsid w:val="005878BB"/>
    <w:rsid w:val="00587CF9"/>
    <w:rsid w:val="00590700"/>
    <w:rsid w:val="00590DA0"/>
    <w:rsid w:val="00591D19"/>
    <w:rsid w:val="0059228D"/>
    <w:rsid w:val="005925A0"/>
    <w:rsid w:val="00592AE7"/>
    <w:rsid w:val="00593BA5"/>
    <w:rsid w:val="00595130"/>
    <w:rsid w:val="00595C48"/>
    <w:rsid w:val="00596887"/>
    <w:rsid w:val="00596E6E"/>
    <w:rsid w:val="00597700"/>
    <w:rsid w:val="005A010D"/>
    <w:rsid w:val="005A0C24"/>
    <w:rsid w:val="005A11B4"/>
    <w:rsid w:val="005A2ACE"/>
    <w:rsid w:val="005A4640"/>
    <w:rsid w:val="005A4CF2"/>
    <w:rsid w:val="005A5328"/>
    <w:rsid w:val="005A5AEE"/>
    <w:rsid w:val="005A690F"/>
    <w:rsid w:val="005A6D79"/>
    <w:rsid w:val="005A70C7"/>
    <w:rsid w:val="005B0D0D"/>
    <w:rsid w:val="005B1018"/>
    <w:rsid w:val="005B344A"/>
    <w:rsid w:val="005B3AFB"/>
    <w:rsid w:val="005C1F12"/>
    <w:rsid w:val="005C6143"/>
    <w:rsid w:val="005C70B4"/>
    <w:rsid w:val="005C7D69"/>
    <w:rsid w:val="005D0DE1"/>
    <w:rsid w:val="005D0F51"/>
    <w:rsid w:val="005D2A64"/>
    <w:rsid w:val="005D2A9C"/>
    <w:rsid w:val="005D3948"/>
    <w:rsid w:val="005D3EF7"/>
    <w:rsid w:val="005D4935"/>
    <w:rsid w:val="005D5928"/>
    <w:rsid w:val="005D5DBD"/>
    <w:rsid w:val="005D72F1"/>
    <w:rsid w:val="005E13DA"/>
    <w:rsid w:val="005E1739"/>
    <w:rsid w:val="005E1C0F"/>
    <w:rsid w:val="005E4FE0"/>
    <w:rsid w:val="005E6152"/>
    <w:rsid w:val="005E6285"/>
    <w:rsid w:val="005E6581"/>
    <w:rsid w:val="005E6F0D"/>
    <w:rsid w:val="005E7AB1"/>
    <w:rsid w:val="005F0797"/>
    <w:rsid w:val="005F0B7E"/>
    <w:rsid w:val="005F118C"/>
    <w:rsid w:val="005F1773"/>
    <w:rsid w:val="005F22FB"/>
    <w:rsid w:val="005F24B8"/>
    <w:rsid w:val="005F27F4"/>
    <w:rsid w:val="005F29CF"/>
    <w:rsid w:val="005F3791"/>
    <w:rsid w:val="005F5E0A"/>
    <w:rsid w:val="005F677B"/>
    <w:rsid w:val="005F71D7"/>
    <w:rsid w:val="005F7990"/>
    <w:rsid w:val="0060048F"/>
    <w:rsid w:val="006022C8"/>
    <w:rsid w:val="00602D2B"/>
    <w:rsid w:val="00603878"/>
    <w:rsid w:val="00604B07"/>
    <w:rsid w:val="006078CC"/>
    <w:rsid w:val="00607DE8"/>
    <w:rsid w:val="006113E5"/>
    <w:rsid w:val="00611803"/>
    <w:rsid w:val="00611C14"/>
    <w:rsid w:val="00612601"/>
    <w:rsid w:val="0061278A"/>
    <w:rsid w:val="00612B6A"/>
    <w:rsid w:val="00612C20"/>
    <w:rsid w:val="006135BE"/>
    <w:rsid w:val="0061407B"/>
    <w:rsid w:val="00614F8D"/>
    <w:rsid w:val="0061521E"/>
    <w:rsid w:val="006156E2"/>
    <w:rsid w:val="00615FC0"/>
    <w:rsid w:val="00616CB7"/>
    <w:rsid w:val="00617433"/>
    <w:rsid w:val="00620052"/>
    <w:rsid w:val="0062071A"/>
    <w:rsid w:val="0062090A"/>
    <w:rsid w:val="00622998"/>
    <w:rsid w:val="006236A7"/>
    <w:rsid w:val="00623779"/>
    <w:rsid w:val="00624171"/>
    <w:rsid w:val="0062459A"/>
    <w:rsid w:val="0062603F"/>
    <w:rsid w:val="00627701"/>
    <w:rsid w:val="00627D7F"/>
    <w:rsid w:val="00627D97"/>
    <w:rsid w:val="0063005D"/>
    <w:rsid w:val="00630792"/>
    <w:rsid w:val="0063085E"/>
    <w:rsid w:val="00630A51"/>
    <w:rsid w:val="00630D99"/>
    <w:rsid w:val="006314D3"/>
    <w:rsid w:val="00631E71"/>
    <w:rsid w:val="006327A6"/>
    <w:rsid w:val="006330C2"/>
    <w:rsid w:val="006341D8"/>
    <w:rsid w:val="00636F1D"/>
    <w:rsid w:val="006376A9"/>
    <w:rsid w:val="00641598"/>
    <w:rsid w:val="006415FB"/>
    <w:rsid w:val="0064284C"/>
    <w:rsid w:val="00642EC8"/>
    <w:rsid w:val="00643B34"/>
    <w:rsid w:val="00644408"/>
    <w:rsid w:val="00644DED"/>
    <w:rsid w:val="00647389"/>
    <w:rsid w:val="00647645"/>
    <w:rsid w:val="006514B9"/>
    <w:rsid w:val="006514BE"/>
    <w:rsid w:val="00651753"/>
    <w:rsid w:val="00652D80"/>
    <w:rsid w:val="00652E4B"/>
    <w:rsid w:val="00656662"/>
    <w:rsid w:val="00656DCD"/>
    <w:rsid w:val="006601DA"/>
    <w:rsid w:val="00662579"/>
    <w:rsid w:val="00664372"/>
    <w:rsid w:val="00665300"/>
    <w:rsid w:val="00665A2E"/>
    <w:rsid w:val="00666377"/>
    <w:rsid w:val="006679DA"/>
    <w:rsid w:val="0067077C"/>
    <w:rsid w:val="00671053"/>
    <w:rsid w:val="00672622"/>
    <w:rsid w:val="00672CE6"/>
    <w:rsid w:val="0067367A"/>
    <w:rsid w:val="006759AB"/>
    <w:rsid w:val="00675CE0"/>
    <w:rsid w:val="00676742"/>
    <w:rsid w:val="0068137C"/>
    <w:rsid w:val="00682BC5"/>
    <w:rsid w:val="00682DC2"/>
    <w:rsid w:val="00683C92"/>
    <w:rsid w:val="006859E8"/>
    <w:rsid w:val="006861C6"/>
    <w:rsid w:val="006864A5"/>
    <w:rsid w:val="00686AE9"/>
    <w:rsid w:val="0068759D"/>
    <w:rsid w:val="00687E94"/>
    <w:rsid w:val="006916CF"/>
    <w:rsid w:val="006919E1"/>
    <w:rsid w:val="00691EE9"/>
    <w:rsid w:val="00691FD3"/>
    <w:rsid w:val="0069260A"/>
    <w:rsid w:val="006938C2"/>
    <w:rsid w:val="00693FB6"/>
    <w:rsid w:val="006947C1"/>
    <w:rsid w:val="006947F8"/>
    <w:rsid w:val="00694AF4"/>
    <w:rsid w:val="00694D3D"/>
    <w:rsid w:val="00696990"/>
    <w:rsid w:val="00696E58"/>
    <w:rsid w:val="00697EB3"/>
    <w:rsid w:val="006A0A0F"/>
    <w:rsid w:val="006A1CE6"/>
    <w:rsid w:val="006A4433"/>
    <w:rsid w:val="006A4A80"/>
    <w:rsid w:val="006A4B6B"/>
    <w:rsid w:val="006A6D09"/>
    <w:rsid w:val="006A6FA4"/>
    <w:rsid w:val="006A7CB9"/>
    <w:rsid w:val="006A7DBA"/>
    <w:rsid w:val="006B0D02"/>
    <w:rsid w:val="006B1BBC"/>
    <w:rsid w:val="006B241A"/>
    <w:rsid w:val="006B354D"/>
    <w:rsid w:val="006B3F21"/>
    <w:rsid w:val="006B4AE1"/>
    <w:rsid w:val="006B5A48"/>
    <w:rsid w:val="006B7210"/>
    <w:rsid w:val="006C06A3"/>
    <w:rsid w:val="006C10D6"/>
    <w:rsid w:val="006C18EA"/>
    <w:rsid w:val="006C3E2C"/>
    <w:rsid w:val="006C4C7A"/>
    <w:rsid w:val="006C4D93"/>
    <w:rsid w:val="006C5DB9"/>
    <w:rsid w:val="006C64EA"/>
    <w:rsid w:val="006C6B4B"/>
    <w:rsid w:val="006C7ED1"/>
    <w:rsid w:val="006D20BF"/>
    <w:rsid w:val="006D2605"/>
    <w:rsid w:val="006D427C"/>
    <w:rsid w:val="006D603F"/>
    <w:rsid w:val="006D7E6B"/>
    <w:rsid w:val="006D7FC8"/>
    <w:rsid w:val="006E2A0B"/>
    <w:rsid w:val="006E2D83"/>
    <w:rsid w:val="006E3562"/>
    <w:rsid w:val="006E36A0"/>
    <w:rsid w:val="006E5425"/>
    <w:rsid w:val="006E54EB"/>
    <w:rsid w:val="006E70AD"/>
    <w:rsid w:val="006E7211"/>
    <w:rsid w:val="006F0A12"/>
    <w:rsid w:val="006F3069"/>
    <w:rsid w:val="006F3C23"/>
    <w:rsid w:val="006F4563"/>
    <w:rsid w:val="006F5857"/>
    <w:rsid w:val="006F740F"/>
    <w:rsid w:val="006F75B9"/>
    <w:rsid w:val="006F7CD3"/>
    <w:rsid w:val="0070124D"/>
    <w:rsid w:val="0070191D"/>
    <w:rsid w:val="00701983"/>
    <w:rsid w:val="00701D12"/>
    <w:rsid w:val="00702009"/>
    <w:rsid w:val="00702227"/>
    <w:rsid w:val="007023FA"/>
    <w:rsid w:val="00702EC4"/>
    <w:rsid w:val="0070425E"/>
    <w:rsid w:val="00704390"/>
    <w:rsid w:val="007059E4"/>
    <w:rsid w:val="00706741"/>
    <w:rsid w:val="00706CD0"/>
    <w:rsid w:val="00707299"/>
    <w:rsid w:val="007072F4"/>
    <w:rsid w:val="0070740C"/>
    <w:rsid w:val="00707672"/>
    <w:rsid w:val="00710B42"/>
    <w:rsid w:val="007111F2"/>
    <w:rsid w:val="00711D19"/>
    <w:rsid w:val="007124AD"/>
    <w:rsid w:val="0071344E"/>
    <w:rsid w:val="0071363B"/>
    <w:rsid w:val="00715D14"/>
    <w:rsid w:val="0071605E"/>
    <w:rsid w:val="00716383"/>
    <w:rsid w:val="0072001E"/>
    <w:rsid w:val="0072031A"/>
    <w:rsid w:val="00721217"/>
    <w:rsid w:val="00721B27"/>
    <w:rsid w:val="007220FC"/>
    <w:rsid w:val="007225C6"/>
    <w:rsid w:val="00722627"/>
    <w:rsid w:val="00723253"/>
    <w:rsid w:val="0072433D"/>
    <w:rsid w:val="007252D5"/>
    <w:rsid w:val="007255C4"/>
    <w:rsid w:val="0072605C"/>
    <w:rsid w:val="00726454"/>
    <w:rsid w:val="00727A0B"/>
    <w:rsid w:val="00727B5F"/>
    <w:rsid w:val="00730A0F"/>
    <w:rsid w:val="00731D82"/>
    <w:rsid w:val="0073265C"/>
    <w:rsid w:val="007332EF"/>
    <w:rsid w:val="007335D4"/>
    <w:rsid w:val="007337F0"/>
    <w:rsid w:val="007339FA"/>
    <w:rsid w:val="007351E5"/>
    <w:rsid w:val="00735642"/>
    <w:rsid w:val="00735CC2"/>
    <w:rsid w:val="00735EE5"/>
    <w:rsid w:val="00737648"/>
    <w:rsid w:val="007405D6"/>
    <w:rsid w:val="00742733"/>
    <w:rsid w:val="007428B5"/>
    <w:rsid w:val="00742D92"/>
    <w:rsid w:val="0074426B"/>
    <w:rsid w:val="00744322"/>
    <w:rsid w:val="00744AE1"/>
    <w:rsid w:val="00744CBE"/>
    <w:rsid w:val="00744F70"/>
    <w:rsid w:val="00745690"/>
    <w:rsid w:val="007457A0"/>
    <w:rsid w:val="0074632D"/>
    <w:rsid w:val="007479CB"/>
    <w:rsid w:val="00750140"/>
    <w:rsid w:val="00750590"/>
    <w:rsid w:val="00750973"/>
    <w:rsid w:val="0075126A"/>
    <w:rsid w:val="007515D7"/>
    <w:rsid w:val="00752EED"/>
    <w:rsid w:val="00753C93"/>
    <w:rsid w:val="007543E3"/>
    <w:rsid w:val="00755F4F"/>
    <w:rsid w:val="007564D6"/>
    <w:rsid w:val="00757C0D"/>
    <w:rsid w:val="00760C75"/>
    <w:rsid w:val="00761A8C"/>
    <w:rsid w:val="00762011"/>
    <w:rsid w:val="00762030"/>
    <w:rsid w:val="00763CA3"/>
    <w:rsid w:val="00765AF9"/>
    <w:rsid w:val="007667F0"/>
    <w:rsid w:val="00766948"/>
    <w:rsid w:val="0077267A"/>
    <w:rsid w:val="0077441C"/>
    <w:rsid w:val="00774BAB"/>
    <w:rsid w:val="007764CF"/>
    <w:rsid w:val="0078170B"/>
    <w:rsid w:val="00782C4D"/>
    <w:rsid w:val="007867BD"/>
    <w:rsid w:val="00786F48"/>
    <w:rsid w:val="007873BC"/>
    <w:rsid w:val="00793E30"/>
    <w:rsid w:val="00794005"/>
    <w:rsid w:val="00795686"/>
    <w:rsid w:val="007957BE"/>
    <w:rsid w:val="0079612A"/>
    <w:rsid w:val="0079643A"/>
    <w:rsid w:val="007A166E"/>
    <w:rsid w:val="007A20EB"/>
    <w:rsid w:val="007A2F7C"/>
    <w:rsid w:val="007A331D"/>
    <w:rsid w:val="007A3921"/>
    <w:rsid w:val="007A658E"/>
    <w:rsid w:val="007B0EE0"/>
    <w:rsid w:val="007B1EA6"/>
    <w:rsid w:val="007B2A93"/>
    <w:rsid w:val="007B2B8D"/>
    <w:rsid w:val="007B5B11"/>
    <w:rsid w:val="007B5D9F"/>
    <w:rsid w:val="007B72B7"/>
    <w:rsid w:val="007C1403"/>
    <w:rsid w:val="007C16E6"/>
    <w:rsid w:val="007C186E"/>
    <w:rsid w:val="007C198F"/>
    <w:rsid w:val="007C1EC6"/>
    <w:rsid w:val="007C2609"/>
    <w:rsid w:val="007C6A52"/>
    <w:rsid w:val="007C7B99"/>
    <w:rsid w:val="007D0E54"/>
    <w:rsid w:val="007D1953"/>
    <w:rsid w:val="007D325C"/>
    <w:rsid w:val="007D4ADC"/>
    <w:rsid w:val="007D64CD"/>
    <w:rsid w:val="007D6C97"/>
    <w:rsid w:val="007E02CE"/>
    <w:rsid w:val="007E11FA"/>
    <w:rsid w:val="007E1451"/>
    <w:rsid w:val="007E1D8E"/>
    <w:rsid w:val="007E1DFC"/>
    <w:rsid w:val="007E2E91"/>
    <w:rsid w:val="007E30DD"/>
    <w:rsid w:val="007E3AFD"/>
    <w:rsid w:val="007E4A5A"/>
    <w:rsid w:val="007E56D5"/>
    <w:rsid w:val="007E69C1"/>
    <w:rsid w:val="007E6F9A"/>
    <w:rsid w:val="007E73CD"/>
    <w:rsid w:val="007E7832"/>
    <w:rsid w:val="007F031A"/>
    <w:rsid w:val="007F0D55"/>
    <w:rsid w:val="007F1732"/>
    <w:rsid w:val="007F1BFE"/>
    <w:rsid w:val="007F1ED2"/>
    <w:rsid w:val="007F256A"/>
    <w:rsid w:val="007F2939"/>
    <w:rsid w:val="007F4821"/>
    <w:rsid w:val="007F4C01"/>
    <w:rsid w:val="007F75F5"/>
    <w:rsid w:val="00800001"/>
    <w:rsid w:val="008004E3"/>
    <w:rsid w:val="00800820"/>
    <w:rsid w:val="00801676"/>
    <w:rsid w:val="0080287E"/>
    <w:rsid w:val="0080397F"/>
    <w:rsid w:val="00803FF7"/>
    <w:rsid w:val="00804A02"/>
    <w:rsid w:val="008058A5"/>
    <w:rsid w:val="00806257"/>
    <w:rsid w:val="00807AFD"/>
    <w:rsid w:val="00810B1B"/>
    <w:rsid w:val="00810C57"/>
    <w:rsid w:val="008117E5"/>
    <w:rsid w:val="008120C9"/>
    <w:rsid w:val="008131EE"/>
    <w:rsid w:val="008144AC"/>
    <w:rsid w:val="00816DDD"/>
    <w:rsid w:val="00817DA6"/>
    <w:rsid w:val="008213AD"/>
    <w:rsid w:val="008218EF"/>
    <w:rsid w:val="008230F5"/>
    <w:rsid w:val="0082481B"/>
    <w:rsid w:val="00825AEF"/>
    <w:rsid w:val="00825BCE"/>
    <w:rsid w:val="00825D84"/>
    <w:rsid w:val="00826653"/>
    <w:rsid w:val="00826765"/>
    <w:rsid w:val="00826BB0"/>
    <w:rsid w:val="00827407"/>
    <w:rsid w:val="00827473"/>
    <w:rsid w:val="008302C8"/>
    <w:rsid w:val="00830438"/>
    <w:rsid w:val="00830556"/>
    <w:rsid w:val="008313DE"/>
    <w:rsid w:val="0083313E"/>
    <w:rsid w:val="0083465D"/>
    <w:rsid w:val="008348DB"/>
    <w:rsid w:val="00834E21"/>
    <w:rsid w:val="00836BF9"/>
    <w:rsid w:val="0084051D"/>
    <w:rsid w:val="008406F0"/>
    <w:rsid w:val="0084087A"/>
    <w:rsid w:val="00842EFC"/>
    <w:rsid w:val="00843A7D"/>
    <w:rsid w:val="00843E8D"/>
    <w:rsid w:val="008453C3"/>
    <w:rsid w:val="0084572C"/>
    <w:rsid w:val="00845C03"/>
    <w:rsid w:val="00847B77"/>
    <w:rsid w:val="00847E5E"/>
    <w:rsid w:val="00850B0D"/>
    <w:rsid w:val="00850F83"/>
    <w:rsid w:val="00851AA8"/>
    <w:rsid w:val="00852431"/>
    <w:rsid w:val="008530E3"/>
    <w:rsid w:val="008539B6"/>
    <w:rsid w:val="00854E39"/>
    <w:rsid w:val="00855360"/>
    <w:rsid w:val="00855999"/>
    <w:rsid w:val="008560E7"/>
    <w:rsid w:val="00856303"/>
    <w:rsid w:val="0085695E"/>
    <w:rsid w:val="00856BC7"/>
    <w:rsid w:val="00861D68"/>
    <w:rsid w:val="008622F5"/>
    <w:rsid w:val="008628EC"/>
    <w:rsid w:val="00864E93"/>
    <w:rsid w:val="00866B83"/>
    <w:rsid w:val="00866CCA"/>
    <w:rsid w:val="00867ABF"/>
    <w:rsid w:val="008705B7"/>
    <w:rsid w:val="00870C23"/>
    <w:rsid w:val="008714A0"/>
    <w:rsid w:val="008760B5"/>
    <w:rsid w:val="008762EA"/>
    <w:rsid w:val="0087765D"/>
    <w:rsid w:val="008776AD"/>
    <w:rsid w:val="00877959"/>
    <w:rsid w:val="00880DDA"/>
    <w:rsid w:val="00880E62"/>
    <w:rsid w:val="00883095"/>
    <w:rsid w:val="00884D99"/>
    <w:rsid w:val="0088531A"/>
    <w:rsid w:val="00885470"/>
    <w:rsid w:val="008860F7"/>
    <w:rsid w:val="008862D2"/>
    <w:rsid w:val="00886664"/>
    <w:rsid w:val="00887137"/>
    <w:rsid w:val="00891979"/>
    <w:rsid w:val="00892226"/>
    <w:rsid w:val="00894AD2"/>
    <w:rsid w:val="0089537F"/>
    <w:rsid w:val="0089577F"/>
    <w:rsid w:val="00896FC2"/>
    <w:rsid w:val="008A1651"/>
    <w:rsid w:val="008A1958"/>
    <w:rsid w:val="008A2034"/>
    <w:rsid w:val="008A206E"/>
    <w:rsid w:val="008A20F6"/>
    <w:rsid w:val="008A3D6F"/>
    <w:rsid w:val="008A59E5"/>
    <w:rsid w:val="008A6492"/>
    <w:rsid w:val="008A6737"/>
    <w:rsid w:val="008A7475"/>
    <w:rsid w:val="008A78D4"/>
    <w:rsid w:val="008B06B9"/>
    <w:rsid w:val="008B209B"/>
    <w:rsid w:val="008B2E2E"/>
    <w:rsid w:val="008B5D2A"/>
    <w:rsid w:val="008B714D"/>
    <w:rsid w:val="008B71C9"/>
    <w:rsid w:val="008C01B8"/>
    <w:rsid w:val="008C0C18"/>
    <w:rsid w:val="008C1037"/>
    <w:rsid w:val="008C2040"/>
    <w:rsid w:val="008C2300"/>
    <w:rsid w:val="008C40A7"/>
    <w:rsid w:val="008C4120"/>
    <w:rsid w:val="008C49B5"/>
    <w:rsid w:val="008C5431"/>
    <w:rsid w:val="008C61D5"/>
    <w:rsid w:val="008C6356"/>
    <w:rsid w:val="008D0123"/>
    <w:rsid w:val="008D06AF"/>
    <w:rsid w:val="008D1C34"/>
    <w:rsid w:val="008D2726"/>
    <w:rsid w:val="008D4A03"/>
    <w:rsid w:val="008D5AA1"/>
    <w:rsid w:val="008D5C4A"/>
    <w:rsid w:val="008D5F5F"/>
    <w:rsid w:val="008D6058"/>
    <w:rsid w:val="008D6DDD"/>
    <w:rsid w:val="008E2AFB"/>
    <w:rsid w:val="008E2F43"/>
    <w:rsid w:val="008E54AC"/>
    <w:rsid w:val="008E5890"/>
    <w:rsid w:val="008E5DBB"/>
    <w:rsid w:val="008E5ECE"/>
    <w:rsid w:val="008E69BE"/>
    <w:rsid w:val="008F0A84"/>
    <w:rsid w:val="008F13C7"/>
    <w:rsid w:val="008F2F85"/>
    <w:rsid w:val="008F42D8"/>
    <w:rsid w:val="008F4B3E"/>
    <w:rsid w:val="008F5236"/>
    <w:rsid w:val="008F5F9E"/>
    <w:rsid w:val="008F6846"/>
    <w:rsid w:val="008F6DE7"/>
    <w:rsid w:val="008F7D2F"/>
    <w:rsid w:val="00901A3A"/>
    <w:rsid w:val="00901F68"/>
    <w:rsid w:val="00901F80"/>
    <w:rsid w:val="009027D9"/>
    <w:rsid w:val="00903347"/>
    <w:rsid w:val="00903EDD"/>
    <w:rsid w:val="00904CCB"/>
    <w:rsid w:val="009070ED"/>
    <w:rsid w:val="00910F27"/>
    <w:rsid w:val="00911076"/>
    <w:rsid w:val="00911143"/>
    <w:rsid w:val="00911F82"/>
    <w:rsid w:val="00912A03"/>
    <w:rsid w:val="00912D5F"/>
    <w:rsid w:val="00913841"/>
    <w:rsid w:val="00913D44"/>
    <w:rsid w:val="009143A2"/>
    <w:rsid w:val="00916145"/>
    <w:rsid w:val="009172D6"/>
    <w:rsid w:val="00922B8F"/>
    <w:rsid w:val="00922F9B"/>
    <w:rsid w:val="009236E9"/>
    <w:rsid w:val="009241C3"/>
    <w:rsid w:val="00924248"/>
    <w:rsid w:val="00924FEB"/>
    <w:rsid w:val="00925F09"/>
    <w:rsid w:val="00925FC3"/>
    <w:rsid w:val="009263AA"/>
    <w:rsid w:val="00926A01"/>
    <w:rsid w:val="00927D3C"/>
    <w:rsid w:val="00930B8E"/>
    <w:rsid w:val="00930D13"/>
    <w:rsid w:val="00931E4F"/>
    <w:rsid w:val="00932826"/>
    <w:rsid w:val="00932FAE"/>
    <w:rsid w:val="00934455"/>
    <w:rsid w:val="0093445D"/>
    <w:rsid w:val="00936DF4"/>
    <w:rsid w:val="0093735E"/>
    <w:rsid w:val="00937596"/>
    <w:rsid w:val="0094114C"/>
    <w:rsid w:val="00941BD1"/>
    <w:rsid w:val="00942299"/>
    <w:rsid w:val="009429C6"/>
    <w:rsid w:val="00942D43"/>
    <w:rsid w:val="00942E29"/>
    <w:rsid w:val="00942F94"/>
    <w:rsid w:val="00943618"/>
    <w:rsid w:val="00943B1C"/>
    <w:rsid w:val="009453E1"/>
    <w:rsid w:val="0094550A"/>
    <w:rsid w:val="00952ABC"/>
    <w:rsid w:val="0095482C"/>
    <w:rsid w:val="00955A81"/>
    <w:rsid w:val="00956518"/>
    <w:rsid w:val="0095747C"/>
    <w:rsid w:val="00957E21"/>
    <w:rsid w:val="009600CD"/>
    <w:rsid w:val="00960A67"/>
    <w:rsid w:val="0096141D"/>
    <w:rsid w:val="00961AFF"/>
    <w:rsid w:val="00961B26"/>
    <w:rsid w:val="00961D5F"/>
    <w:rsid w:val="00961DFA"/>
    <w:rsid w:val="0096334C"/>
    <w:rsid w:val="009634AA"/>
    <w:rsid w:val="009637E9"/>
    <w:rsid w:val="009643D9"/>
    <w:rsid w:val="00970B1D"/>
    <w:rsid w:val="00972247"/>
    <w:rsid w:val="00973C39"/>
    <w:rsid w:val="00973C4F"/>
    <w:rsid w:val="0097494C"/>
    <w:rsid w:val="0097570E"/>
    <w:rsid w:val="0097613F"/>
    <w:rsid w:val="009800C2"/>
    <w:rsid w:val="00981437"/>
    <w:rsid w:val="009816C1"/>
    <w:rsid w:val="00982918"/>
    <w:rsid w:val="00982E54"/>
    <w:rsid w:val="00983036"/>
    <w:rsid w:val="0098328A"/>
    <w:rsid w:val="0098554C"/>
    <w:rsid w:val="00985A5B"/>
    <w:rsid w:val="00986116"/>
    <w:rsid w:val="00986292"/>
    <w:rsid w:val="00986E2C"/>
    <w:rsid w:val="00987220"/>
    <w:rsid w:val="009873DB"/>
    <w:rsid w:val="009876D8"/>
    <w:rsid w:val="00991AA6"/>
    <w:rsid w:val="009922E1"/>
    <w:rsid w:val="009931B5"/>
    <w:rsid w:val="00993B1F"/>
    <w:rsid w:val="00994607"/>
    <w:rsid w:val="00995E3D"/>
    <w:rsid w:val="00997719"/>
    <w:rsid w:val="009A05D9"/>
    <w:rsid w:val="009A0A53"/>
    <w:rsid w:val="009A26AD"/>
    <w:rsid w:val="009A27E7"/>
    <w:rsid w:val="009A44E2"/>
    <w:rsid w:val="009A49AD"/>
    <w:rsid w:val="009A61EB"/>
    <w:rsid w:val="009A749B"/>
    <w:rsid w:val="009B1A63"/>
    <w:rsid w:val="009B31BD"/>
    <w:rsid w:val="009B4560"/>
    <w:rsid w:val="009B469D"/>
    <w:rsid w:val="009B5227"/>
    <w:rsid w:val="009B5938"/>
    <w:rsid w:val="009B5DA3"/>
    <w:rsid w:val="009B5FA5"/>
    <w:rsid w:val="009C0079"/>
    <w:rsid w:val="009C1397"/>
    <w:rsid w:val="009C43E8"/>
    <w:rsid w:val="009C4D25"/>
    <w:rsid w:val="009C5D77"/>
    <w:rsid w:val="009C627B"/>
    <w:rsid w:val="009C71E8"/>
    <w:rsid w:val="009D1D4C"/>
    <w:rsid w:val="009D2B29"/>
    <w:rsid w:val="009D347B"/>
    <w:rsid w:val="009D4846"/>
    <w:rsid w:val="009D577D"/>
    <w:rsid w:val="009D6820"/>
    <w:rsid w:val="009E0395"/>
    <w:rsid w:val="009E07AF"/>
    <w:rsid w:val="009E0FEE"/>
    <w:rsid w:val="009E1063"/>
    <w:rsid w:val="009E17D8"/>
    <w:rsid w:val="009E2A6D"/>
    <w:rsid w:val="009E2C88"/>
    <w:rsid w:val="009E33C1"/>
    <w:rsid w:val="009E3D4A"/>
    <w:rsid w:val="009E4AB1"/>
    <w:rsid w:val="009E697C"/>
    <w:rsid w:val="009F06A6"/>
    <w:rsid w:val="009F1AA1"/>
    <w:rsid w:val="009F2367"/>
    <w:rsid w:val="009F2BA2"/>
    <w:rsid w:val="009F3544"/>
    <w:rsid w:val="009F4643"/>
    <w:rsid w:val="009F5EE8"/>
    <w:rsid w:val="009F6D07"/>
    <w:rsid w:val="009F7DDB"/>
    <w:rsid w:val="00A00E60"/>
    <w:rsid w:val="00A01293"/>
    <w:rsid w:val="00A016BB"/>
    <w:rsid w:val="00A02175"/>
    <w:rsid w:val="00A02ECF"/>
    <w:rsid w:val="00A03F3E"/>
    <w:rsid w:val="00A041CB"/>
    <w:rsid w:val="00A0552B"/>
    <w:rsid w:val="00A062F8"/>
    <w:rsid w:val="00A06EB1"/>
    <w:rsid w:val="00A07A19"/>
    <w:rsid w:val="00A07CF2"/>
    <w:rsid w:val="00A120E7"/>
    <w:rsid w:val="00A1337D"/>
    <w:rsid w:val="00A13FE6"/>
    <w:rsid w:val="00A17501"/>
    <w:rsid w:val="00A202ED"/>
    <w:rsid w:val="00A20A43"/>
    <w:rsid w:val="00A20C86"/>
    <w:rsid w:val="00A21D8C"/>
    <w:rsid w:val="00A24A46"/>
    <w:rsid w:val="00A2515C"/>
    <w:rsid w:val="00A254BC"/>
    <w:rsid w:val="00A26594"/>
    <w:rsid w:val="00A279CA"/>
    <w:rsid w:val="00A30713"/>
    <w:rsid w:val="00A31D86"/>
    <w:rsid w:val="00A3300F"/>
    <w:rsid w:val="00A3384F"/>
    <w:rsid w:val="00A3460D"/>
    <w:rsid w:val="00A358C1"/>
    <w:rsid w:val="00A361C1"/>
    <w:rsid w:val="00A366DF"/>
    <w:rsid w:val="00A3777E"/>
    <w:rsid w:val="00A406AF"/>
    <w:rsid w:val="00A41587"/>
    <w:rsid w:val="00A41F07"/>
    <w:rsid w:val="00A4235D"/>
    <w:rsid w:val="00A44CEE"/>
    <w:rsid w:val="00A45457"/>
    <w:rsid w:val="00A46FEE"/>
    <w:rsid w:val="00A47163"/>
    <w:rsid w:val="00A47E0D"/>
    <w:rsid w:val="00A47EBE"/>
    <w:rsid w:val="00A5000A"/>
    <w:rsid w:val="00A500CA"/>
    <w:rsid w:val="00A5024B"/>
    <w:rsid w:val="00A5061D"/>
    <w:rsid w:val="00A51424"/>
    <w:rsid w:val="00A5146A"/>
    <w:rsid w:val="00A522B8"/>
    <w:rsid w:val="00A52564"/>
    <w:rsid w:val="00A52B4F"/>
    <w:rsid w:val="00A53C09"/>
    <w:rsid w:val="00A54D74"/>
    <w:rsid w:val="00A54E3D"/>
    <w:rsid w:val="00A54E96"/>
    <w:rsid w:val="00A555E1"/>
    <w:rsid w:val="00A558F0"/>
    <w:rsid w:val="00A55D73"/>
    <w:rsid w:val="00A60377"/>
    <w:rsid w:val="00A60EC6"/>
    <w:rsid w:val="00A62837"/>
    <w:rsid w:val="00A628D0"/>
    <w:rsid w:val="00A63B02"/>
    <w:rsid w:val="00A642BF"/>
    <w:rsid w:val="00A64D31"/>
    <w:rsid w:val="00A64D5F"/>
    <w:rsid w:val="00A667A0"/>
    <w:rsid w:val="00A6779B"/>
    <w:rsid w:val="00A70C3D"/>
    <w:rsid w:val="00A7184D"/>
    <w:rsid w:val="00A71A5C"/>
    <w:rsid w:val="00A71CF3"/>
    <w:rsid w:val="00A71D90"/>
    <w:rsid w:val="00A72AAC"/>
    <w:rsid w:val="00A743A8"/>
    <w:rsid w:val="00A76F91"/>
    <w:rsid w:val="00A77A7D"/>
    <w:rsid w:val="00A77CF1"/>
    <w:rsid w:val="00A80565"/>
    <w:rsid w:val="00A80BD6"/>
    <w:rsid w:val="00A819D2"/>
    <w:rsid w:val="00A822C7"/>
    <w:rsid w:val="00A824D8"/>
    <w:rsid w:val="00A82CFE"/>
    <w:rsid w:val="00A839E0"/>
    <w:rsid w:val="00A83D67"/>
    <w:rsid w:val="00A847A4"/>
    <w:rsid w:val="00A84B7C"/>
    <w:rsid w:val="00A85F3C"/>
    <w:rsid w:val="00A862F1"/>
    <w:rsid w:val="00A8672E"/>
    <w:rsid w:val="00A86749"/>
    <w:rsid w:val="00A87421"/>
    <w:rsid w:val="00A87B9E"/>
    <w:rsid w:val="00A87EF6"/>
    <w:rsid w:val="00A91A68"/>
    <w:rsid w:val="00A91AC2"/>
    <w:rsid w:val="00A9207D"/>
    <w:rsid w:val="00A929E4"/>
    <w:rsid w:val="00A92FA5"/>
    <w:rsid w:val="00A957AD"/>
    <w:rsid w:val="00A96368"/>
    <w:rsid w:val="00A9672A"/>
    <w:rsid w:val="00A96771"/>
    <w:rsid w:val="00AA074C"/>
    <w:rsid w:val="00AA1769"/>
    <w:rsid w:val="00AA28BE"/>
    <w:rsid w:val="00AA36B1"/>
    <w:rsid w:val="00AA3FEF"/>
    <w:rsid w:val="00AA48FB"/>
    <w:rsid w:val="00AA5F57"/>
    <w:rsid w:val="00AA6835"/>
    <w:rsid w:val="00AA68CE"/>
    <w:rsid w:val="00AA7F24"/>
    <w:rsid w:val="00AB1E69"/>
    <w:rsid w:val="00AB23CC"/>
    <w:rsid w:val="00AB4327"/>
    <w:rsid w:val="00AB5987"/>
    <w:rsid w:val="00AB5D4B"/>
    <w:rsid w:val="00AB5EA8"/>
    <w:rsid w:val="00AB5EC7"/>
    <w:rsid w:val="00AB651D"/>
    <w:rsid w:val="00AB6F7F"/>
    <w:rsid w:val="00AC0F3C"/>
    <w:rsid w:val="00AC1062"/>
    <w:rsid w:val="00AC37AD"/>
    <w:rsid w:val="00AC431F"/>
    <w:rsid w:val="00AC4945"/>
    <w:rsid w:val="00AC50B6"/>
    <w:rsid w:val="00AC6120"/>
    <w:rsid w:val="00AC644C"/>
    <w:rsid w:val="00AC6A71"/>
    <w:rsid w:val="00AC6F22"/>
    <w:rsid w:val="00AC777B"/>
    <w:rsid w:val="00AD2EA7"/>
    <w:rsid w:val="00AD3658"/>
    <w:rsid w:val="00AD3889"/>
    <w:rsid w:val="00AD3D8C"/>
    <w:rsid w:val="00AD455A"/>
    <w:rsid w:val="00AD5708"/>
    <w:rsid w:val="00AD6B07"/>
    <w:rsid w:val="00AD79A5"/>
    <w:rsid w:val="00AD7B9C"/>
    <w:rsid w:val="00AD7FB5"/>
    <w:rsid w:val="00AE033D"/>
    <w:rsid w:val="00AE111F"/>
    <w:rsid w:val="00AE2D65"/>
    <w:rsid w:val="00AE3D34"/>
    <w:rsid w:val="00AE5C57"/>
    <w:rsid w:val="00AE5EFB"/>
    <w:rsid w:val="00AE5F98"/>
    <w:rsid w:val="00AE7B6E"/>
    <w:rsid w:val="00AE7D10"/>
    <w:rsid w:val="00AF2011"/>
    <w:rsid w:val="00AF3515"/>
    <w:rsid w:val="00AF58DF"/>
    <w:rsid w:val="00AF6721"/>
    <w:rsid w:val="00AF6BA9"/>
    <w:rsid w:val="00AF733D"/>
    <w:rsid w:val="00B0004F"/>
    <w:rsid w:val="00B02008"/>
    <w:rsid w:val="00B027D5"/>
    <w:rsid w:val="00B02E28"/>
    <w:rsid w:val="00B0344E"/>
    <w:rsid w:val="00B03F4D"/>
    <w:rsid w:val="00B04470"/>
    <w:rsid w:val="00B04D2C"/>
    <w:rsid w:val="00B051AF"/>
    <w:rsid w:val="00B05D34"/>
    <w:rsid w:val="00B064BA"/>
    <w:rsid w:val="00B07536"/>
    <w:rsid w:val="00B07E9C"/>
    <w:rsid w:val="00B10AA4"/>
    <w:rsid w:val="00B12084"/>
    <w:rsid w:val="00B125F4"/>
    <w:rsid w:val="00B1348C"/>
    <w:rsid w:val="00B1375C"/>
    <w:rsid w:val="00B1385D"/>
    <w:rsid w:val="00B14D02"/>
    <w:rsid w:val="00B1513A"/>
    <w:rsid w:val="00B16632"/>
    <w:rsid w:val="00B16853"/>
    <w:rsid w:val="00B17E9B"/>
    <w:rsid w:val="00B17F31"/>
    <w:rsid w:val="00B201BF"/>
    <w:rsid w:val="00B2181D"/>
    <w:rsid w:val="00B21DA3"/>
    <w:rsid w:val="00B22681"/>
    <w:rsid w:val="00B246ED"/>
    <w:rsid w:val="00B27445"/>
    <w:rsid w:val="00B308BE"/>
    <w:rsid w:val="00B3094B"/>
    <w:rsid w:val="00B3268F"/>
    <w:rsid w:val="00B330FC"/>
    <w:rsid w:val="00B33CB5"/>
    <w:rsid w:val="00B35FF4"/>
    <w:rsid w:val="00B36D6C"/>
    <w:rsid w:val="00B36D9D"/>
    <w:rsid w:val="00B37C5C"/>
    <w:rsid w:val="00B41653"/>
    <w:rsid w:val="00B41C03"/>
    <w:rsid w:val="00B42664"/>
    <w:rsid w:val="00B45565"/>
    <w:rsid w:val="00B460D6"/>
    <w:rsid w:val="00B46256"/>
    <w:rsid w:val="00B465C1"/>
    <w:rsid w:val="00B47A87"/>
    <w:rsid w:val="00B503B5"/>
    <w:rsid w:val="00B50519"/>
    <w:rsid w:val="00B51C8F"/>
    <w:rsid w:val="00B53144"/>
    <w:rsid w:val="00B532AB"/>
    <w:rsid w:val="00B533F0"/>
    <w:rsid w:val="00B5368A"/>
    <w:rsid w:val="00B53C7A"/>
    <w:rsid w:val="00B540F9"/>
    <w:rsid w:val="00B5581A"/>
    <w:rsid w:val="00B55CE3"/>
    <w:rsid w:val="00B56400"/>
    <w:rsid w:val="00B5659F"/>
    <w:rsid w:val="00B567C3"/>
    <w:rsid w:val="00B57218"/>
    <w:rsid w:val="00B57915"/>
    <w:rsid w:val="00B57AAF"/>
    <w:rsid w:val="00B6032C"/>
    <w:rsid w:val="00B60D2D"/>
    <w:rsid w:val="00B616D8"/>
    <w:rsid w:val="00B62FFB"/>
    <w:rsid w:val="00B63ACD"/>
    <w:rsid w:val="00B6429C"/>
    <w:rsid w:val="00B64302"/>
    <w:rsid w:val="00B64773"/>
    <w:rsid w:val="00B65CE3"/>
    <w:rsid w:val="00B67C28"/>
    <w:rsid w:val="00B71341"/>
    <w:rsid w:val="00B721BF"/>
    <w:rsid w:val="00B7226F"/>
    <w:rsid w:val="00B722A9"/>
    <w:rsid w:val="00B77128"/>
    <w:rsid w:val="00B802B9"/>
    <w:rsid w:val="00B805E8"/>
    <w:rsid w:val="00B806EA"/>
    <w:rsid w:val="00B807F2"/>
    <w:rsid w:val="00B80A29"/>
    <w:rsid w:val="00B811EC"/>
    <w:rsid w:val="00B813F7"/>
    <w:rsid w:val="00B81ECD"/>
    <w:rsid w:val="00B82001"/>
    <w:rsid w:val="00B82349"/>
    <w:rsid w:val="00B82922"/>
    <w:rsid w:val="00B83A45"/>
    <w:rsid w:val="00B8405D"/>
    <w:rsid w:val="00B84208"/>
    <w:rsid w:val="00B85F66"/>
    <w:rsid w:val="00B86C8A"/>
    <w:rsid w:val="00B86ED4"/>
    <w:rsid w:val="00B86FA0"/>
    <w:rsid w:val="00B879D0"/>
    <w:rsid w:val="00B90788"/>
    <w:rsid w:val="00B90F6A"/>
    <w:rsid w:val="00B91FE2"/>
    <w:rsid w:val="00B930C4"/>
    <w:rsid w:val="00B936A6"/>
    <w:rsid w:val="00B93E38"/>
    <w:rsid w:val="00B9449C"/>
    <w:rsid w:val="00B94C02"/>
    <w:rsid w:val="00B954AC"/>
    <w:rsid w:val="00B95E97"/>
    <w:rsid w:val="00B97AF2"/>
    <w:rsid w:val="00B97CD9"/>
    <w:rsid w:val="00BA0521"/>
    <w:rsid w:val="00BA1110"/>
    <w:rsid w:val="00BA1B65"/>
    <w:rsid w:val="00BA2607"/>
    <w:rsid w:val="00BA262F"/>
    <w:rsid w:val="00BA2731"/>
    <w:rsid w:val="00BA2B89"/>
    <w:rsid w:val="00BA3D4B"/>
    <w:rsid w:val="00BA3DEC"/>
    <w:rsid w:val="00BA7B8C"/>
    <w:rsid w:val="00BB0470"/>
    <w:rsid w:val="00BB051C"/>
    <w:rsid w:val="00BB0EFB"/>
    <w:rsid w:val="00BB134B"/>
    <w:rsid w:val="00BB2251"/>
    <w:rsid w:val="00BB435B"/>
    <w:rsid w:val="00BB45AE"/>
    <w:rsid w:val="00BB6135"/>
    <w:rsid w:val="00BB71C2"/>
    <w:rsid w:val="00BB7348"/>
    <w:rsid w:val="00BC0364"/>
    <w:rsid w:val="00BC0DE5"/>
    <w:rsid w:val="00BC1956"/>
    <w:rsid w:val="00BC1B0D"/>
    <w:rsid w:val="00BC1B73"/>
    <w:rsid w:val="00BC3176"/>
    <w:rsid w:val="00BC3372"/>
    <w:rsid w:val="00BC448E"/>
    <w:rsid w:val="00BC7098"/>
    <w:rsid w:val="00BD0BB8"/>
    <w:rsid w:val="00BD19C9"/>
    <w:rsid w:val="00BD1A67"/>
    <w:rsid w:val="00BD1CD8"/>
    <w:rsid w:val="00BD29E1"/>
    <w:rsid w:val="00BD520F"/>
    <w:rsid w:val="00BD6A13"/>
    <w:rsid w:val="00BD6EB4"/>
    <w:rsid w:val="00BE12D5"/>
    <w:rsid w:val="00BE1409"/>
    <w:rsid w:val="00BE1B06"/>
    <w:rsid w:val="00BE1D3B"/>
    <w:rsid w:val="00BE2FA3"/>
    <w:rsid w:val="00BE497D"/>
    <w:rsid w:val="00BE4986"/>
    <w:rsid w:val="00BE4E44"/>
    <w:rsid w:val="00BE60D3"/>
    <w:rsid w:val="00BE6826"/>
    <w:rsid w:val="00BE728F"/>
    <w:rsid w:val="00BE7291"/>
    <w:rsid w:val="00BF0E45"/>
    <w:rsid w:val="00BF0F79"/>
    <w:rsid w:val="00BF1389"/>
    <w:rsid w:val="00BF2B60"/>
    <w:rsid w:val="00BF2D29"/>
    <w:rsid w:val="00BF2E28"/>
    <w:rsid w:val="00BF2FD8"/>
    <w:rsid w:val="00BF3EB9"/>
    <w:rsid w:val="00BF481A"/>
    <w:rsid w:val="00BF4960"/>
    <w:rsid w:val="00BF5769"/>
    <w:rsid w:val="00BF6B4F"/>
    <w:rsid w:val="00C02526"/>
    <w:rsid w:val="00C03059"/>
    <w:rsid w:val="00C03378"/>
    <w:rsid w:val="00C047E4"/>
    <w:rsid w:val="00C0493C"/>
    <w:rsid w:val="00C04DEE"/>
    <w:rsid w:val="00C055EF"/>
    <w:rsid w:val="00C06041"/>
    <w:rsid w:val="00C06070"/>
    <w:rsid w:val="00C06443"/>
    <w:rsid w:val="00C07145"/>
    <w:rsid w:val="00C07390"/>
    <w:rsid w:val="00C079B9"/>
    <w:rsid w:val="00C1023E"/>
    <w:rsid w:val="00C10AC6"/>
    <w:rsid w:val="00C1181A"/>
    <w:rsid w:val="00C11C13"/>
    <w:rsid w:val="00C13781"/>
    <w:rsid w:val="00C145E3"/>
    <w:rsid w:val="00C163D4"/>
    <w:rsid w:val="00C16951"/>
    <w:rsid w:val="00C16A5C"/>
    <w:rsid w:val="00C16DD0"/>
    <w:rsid w:val="00C2037B"/>
    <w:rsid w:val="00C2156A"/>
    <w:rsid w:val="00C21DE1"/>
    <w:rsid w:val="00C24481"/>
    <w:rsid w:val="00C25346"/>
    <w:rsid w:val="00C25EF3"/>
    <w:rsid w:val="00C271E6"/>
    <w:rsid w:val="00C3007F"/>
    <w:rsid w:val="00C3045A"/>
    <w:rsid w:val="00C31675"/>
    <w:rsid w:val="00C31C15"/>
    <w:rsid w:val="00C32338"/>
    <w:rsid w:val="00C33FFD"/>
    <w:rsid w:val="00C34B09"/>
    <w:rsid w:val="00C34D3E"/>
    <w:rsid w:val="00C34F8D"/>
    <w:rsid w:val="00C3669F"/>
    <w:rsid w:val="00C3733E"/>
    <w:rsid w:val="00C3754E"/>
    <w:rsid w:val="00C37612"/>
    <w:rsid w:val="00C3795E"/>
    <w:rsid w:val="00C407E1"/>
    <w:rsid w:val="00C42096"/>
    <w:rsid w:val="00C4341E"/>
    <w:rsid w:val="00C437AC"/>
    <w:rsid w:val="00C43CC5"/>
    <w:rsid w:val="00C4420F"/>
    <w:rsid w:val="00C460EE"/>
    <w:rsid w:val="00C46860"/>
    <w:rsid w:val="00C469BD"/>
    <w:rsid w:val="00C511B4"/>
    <w:rsid w:val="00C512DC"/>
    <w:rsid w:val="00C523EE"/>
    <w:rsid w:val="00C52E2A"/>
    <w:rsid w:val="00C5366F"/>
    <w:rsid w:val="00C537EE"/>
    <w:rsid w:val="00C53AAE"/>
    <w:rsid w:val="00C55596"/>
    <w:rsid w:val="00C555A3"/>
    <w:rsid w:val="00C55EA6"/>
    <w:rsid w:val="00C575D1"/>
    <w:rsid w:val="00C605E3"/>
    <w:rsid w:val="00C6070D"/>
    <w:rsid w:val="00C61163"/>
    <w:rsid w:val="00C61B4D"/>
    <w:rsid w:val="00C62AB3"/>
    <w:rsid w:val="00C6615B"/>
    <w:rsid w:val="00C67EFE"/>
    <w:rsid w:val="00C704F8"/>
    <w:rsid w:val="00C717C7"/>
    <w:rsid w:val="00C717DD"/>
    <w:rsid w:val="00C72A14"/>
    <w:rsid w:val="00C737BE"/>
    <w:rsid w:val="00C7402F"/>
    <w:rsid w:val="00C76E57"/>
    <w:rsid w:val="00C802DB"/>
    <w:rsid w:val="00C80C38"/>
    <w:rsid w:val="00C81556"/>
    <w:rsid w:val="00C81E2A"/>
    <w:rsid w:val="00C821A8"/>
    <w:rsid w:val="00C825F3"/>
    <w:rsid w:val="00C835A7"/>
    <w:rsid w:val="00C8447D"/>
    <w:rsid w:val="00C85002"/>
    <w:rsid w:val="00C85D08"/>
    <w:rsid w:val="00C85ED3"/>
    <w:rsid w:val="00C85FB4"/>
    <w:rsid w:val="00C86815"/>
    <w:rsid w:val="00C87002"/>
    <w:rsid w:val="00C879DB"/>
    <w:rsid w:val="00C90515"/>
    <w:rsid w:val="00C914FE"/>
    <w:rsid w:val="00C926BB"/>
    <w:rsid w:val="00C93735"/>
    <w:rsid w:val="00C93B4F"/>
    <w:rsid w:val="00C945E3"/>
    <w:rsid w:val="00C94E1E"/>
    <w:rsid w:val="00C95802"/>
    <w:rsid w:val="00C96038"/>
    <w:rsid w:val="00C96638"/>
    <w:rsid w:val="00C9719D"/>
    <w:rsid w:val="00C9782E"/>
    <w:rsid w:val="00CA0FAF"/>
    <w:rsid w:val="00CA27C3"/>
    <w:rsid w:val="00CA2CB5"/>
    <w:rsid w:val="00CA2D5F"/>
    <w:rsid w:val="00CA3011"/>
    <w:rsid w:val="00CA5314"/>
    <w:rsid w:val="00CA6575"/>
    <w:rsid w:val="00CA69E7"/>
    <w:rsid w:val="00CA7079"/>
    <w:rsid w:val="00CA7BDB"/>
    <w:rsid w:val="00CA7C31"/>
    <w:rsid w:val="00CA7EBA"/>
    <w:rsid w:val="00CB2087"/>
    <w:rsid w:val="00CB35EE"/>
    <w:rsid w:val="00CB3C57"/>
    <w:rsid w:val="00CB477F"/>
    <w:rsid w:val="00CB4DD2"/>
    <w:rsid w:val="00CB5BD9"/>
    <w:rsid w:val="00CB6776"/>
    <w:rsid w:val="00CB695E"/>
    <w:rsid w:val="00CB6C76"/>
    <w:rsid w:val="00CB6D20"/>
    <w:rsid w:val="00CB722D"/>
    <w:rsid w:val="00CB7B34"/>
    <w:rsid w:val="00CC0376"/>
    <w:rsid w:val="00CC207A"/>
    <w:rsid w:val="00CC2257"/>
    <w:rsid w:val="00CC342E"/>
    <w:rsid w:val="00CC48CA"/>
    <w:rsid w:val="00CC5182"/>
    <w:rsid w:val="00CC52C2"/>
    <w:rsid w:val="00CC6CAD"/>
    <w:rsid w:val="00CC6D3E"/>
    <w:rsid w:val="00CC71F4"/>
    <w:rsid w:val="00CC760D"/>
    <w:rsid w:val="00CC7797"/>
    <w:rsid w:val="00CC795A"/>
    <w:rsid w:val="00CC7CB8"/>
    <w:rsid w:val="00CD1DF1"/>
    <w:rsid w:val="00CD5331"/>
    <w:rsid w:val="00CD5CA3"/>
    <w:rsid w:val="00CD6D7B"/>
    <w:rsid w:val="00CD75F1"/>
    <w:rsid w:val="00CE0136"/>
    <w:rsid w:val="00CE042E"/>
    <w:rsid w:val="00CE0BCF"/>
    <w:rsid w:val="00CE29C0"/>
    <w:rsid w:val="00CE3BC0"/>
    <w:rsid w:val="00CE4315"/>
    <w:rsid w:val="00CE499C"/>
    <w:rsid w:val="00CE5A9B"/>
    <w:rsid w:val="00CE6632"/>
    <w:rsid w:val="00CE78B3"/>
    <w:rsid w:val="00CF1D72"/>
    <w:rsid w:val="00CF1F5E"/>
    <w:rsid w:val="00CF1F71"/>
    <w:rsid w:val="00CF2346"/>
    <w:rsid w:val="00CF3D09"/>
    <w:rsid w:val="00CF5481"/>
    <w:rsid w:val="00CF5E7D"/>
    <w:rsid w:val="00CF7768"/>
    <w:rsid w:val="00D00A85"/>
    <w:rsid w:val="00D00A91"/>
    <w:rsid w:val="00D01C6F"/>
    <w:rsid w:val="00D04246"/>
    <w:rsid w:val="00D049B7"/>
    <w:rsid w:val="00D049E6"/>
    <w:rsid w:val="00D04BAB"/>
    <w:rsid w:val="00D05A24"/>
    <w:rsid w:val="00D05D00"/>
    <w:rsid w:val="00D0638C"/>
    <w:rsid w:val="00D067CC"/>
    <w:rsid w:val="00D07428"/>
    <w:rsid w:val="00D1138A"/>
    <w:rsid w:val="00D1218F"/>
    <w:rsid w:val="00D12D0E"/>
    <w:rsid w:val="00D14105"/>
    <w:rsid w:val="00D147B2"/>
    <w:rsid w:val="00D148B7"/>
    <w:rsid w:val="00D14B4A"/>
    <w:rsid w:val="00D1598A"/>
    <w:rsid w:val="00D15E13"/>
    <w:rsid w:val="00D16811"/>
    <w:rsid w:val="00D173FC"/>
    <w:rsid w:val="00D174C9"/>
    <w:rsid w:val="00D20290"/>
    <w:rsid w:val="00D2042F"/>
    <w:rsid w:val="00D21CD4"/>
    <w:rsid w:val="00D2205C"/>
    <w:rsid w:val="00D23F74"/>
    <w:rsid w:val="00D2428C"/>
    <w:rsid w:val="00D24A3B"/>
    <w:rsid w:val="00D255D0"/>
    <w:rsid w:val="00D2657E"/>
    <w:rsid w:val="00D2691F"/>
    <w:rsid w:val="00D273E8"/>
    <w:rsid w:val="00D27823"/>
    <w:rsid w:val="00D30508"/>
    <w:rsid w:val="00D30762"/>
    <w:rsid w:val="00D30D73"/>
    <w:rsid w:val="00D312F0"/>
    <w:rsid w:val="00D31DF3"/>
    <w:rsid w:val="00D32CBC"/>
    <w:rsid w:val="00D348CB"/>
    <w:rsid w:val="00D35723"/>
    <w:rsid w:val="00D406F6"/>
    <w:rsid w:val="00D418DE"/>
    <w:rsid w:val="00D4274C"/>
    <w:rsid w:val="00D428D0"/>
    <w:rsid w:val="00D42CE6"/>
    <w:rsid w:val="00D43062"/>
    <w:rsid w:val="00D4306F"/>
    <w:rsid w:val="00D4410E"/>
    <w:rsid w:val="00D44A59"/>
    <w:rsid w:val="00D44CED"/>
    <w:rsid w:val="00D461A6"/>
    <w:rsid w:val="00D4682D"/>
    <w:rsid w:val="00D475B8"/>
    <w:rsid w:val="00D50611"/>
    <w:rsid w:val="00D51090"/>
    <w:rsid w:val="00D516DE"/>
    <w:rsid w:val="00D5191F"/>
    <w:rsid w:val="00D51CDC"/>
    <w:rsid w:val="00D520D1"/>
    <w:rsid w:val="00D521E6"/>
    <w:rsid w:val="00D5221D"/>
    <w:rsid w:val="00D52753"/>
    <w:rsid w:val="00D5333F"/>
    <w:rsid w:val="00D53DF5"/>
    <w:rsid w:val="00D5472A"/>
    <w:rsid w:val="00D55173"/>
    <w:rsid w:val="00D57454"/>
    <w:rsid w:val="00D578D0"/>
    <w:rsid w:val="00D60B82"/>
    <w:rsid w:val="00D6233A"/>
    <w:rsid w:val="00D62ED1"/>
    <w:rsid w:val="00D63DBE"/>
    <w:rsid w:val="00D64EF4"/>
    <w:rsid w:val="00D66444"/>
    <w:rsid w:val="00D66E9A"/>
    <w:rsid w:val="00D67D9F"/>
    <w:rsid w:val="00D70507"/>
    <w:rsid w:val="00D7061D"/>
    <w:rsid w:val="00D71339"/>
    <w:rsid w:val="00D7197F"/>
    <w:rsid w:val="00D71A17"/>
    <w:rsid w:val="00D72E62"/>
    <w:rsid w:val="00D74274"/>
    <w:rsid w:val="00D74987"/>
    <w:rsid w:val="00D75C3C"/>
    <w:rsid w:val="00D76911"/>
    <w:rsid w:val="00D76DD8"/>
    <w:rsid w:val="00D77284"/>
    <w:rsid w:val="00D81045"/>
    <w:rsid w:val="00D81897"/>
    <w:rsid w:val="00D82881"/>
    <w:rsid w:val="00D84E3D"/>
    <w:rsid w:val="00D85F3B"/>
    <w:rsid w:val="00D86002"/>
    <w:rsid w:val="00D878C7"/>
    <w:rsid w:val="00D87936"/>
    <w:rsid w:val="00D87B73"/>
    <w:rsid w:val="00D9000D"/>
    <w:rsid w:val="00D9033F"/>
    <w:rsid w:val="00D91DDA"/>
    <w:rsid w:val="00D923E6"/>
    <w:rsid w:val="00D9266B"/>
    <w:rsid w:val="00D92A71"/>
    <w:rsid w:val="00D9706A"/>
    <w:rsid w:val="00DA0DA3"/>
    <w:rsid w:val="00DA118E"/>
    <w:rsid w:val="00DA1867"/>
    <w:rsid w:val="00DA271D"/>
    <w:rsid w:val="00DA2D4F"/>
    <w:rsid w:val="00DB07B2"/>
    <w:rsid w:val="00DB0B70"/>
    <w:rsid w:val="00DB13D0"/>
    <w:rsid w:val="00DB1497"/>
    <w:rsid w:val="00DB2436"/>
    <w:rsid w:val="00DB33BB"/>
    <w:rsid w:val="00DB5636"/>
    <w:rsid w:val="00DB58CC"/>
    <w:rsid w:val="00DB5FC9"/>
    <w:rsid w:val="00DB6188"/>
    <w:rsid w:val="00DB701A"/>
    <w:rsid w:val="00DB71BE"/>
    <w:rsid w:val="00DC0E70"/>
    <w:rsid w:val="00DC13E3"/>
    <w:rsid w:val="00DC1752"/>
    <w:rsid w:val="00DC1A1D"/>
    <w:rsid w:val="00DC1DAD"/>
    <w:rsid w:val="00DC2CE4"/>
    <w:rsid w:val="00DC2F65"/>
    <w:rsid w:val="00DC3081"/>
    <w:rsid w:val="00DC45AF"/>
    <w:rsid w:val="00DC48C7"/>
    <w:rsid w:val="00DC4B64"/>
    <w:rsid w:val="00DC5B7E"/>
    <w:rsid w:val="00DC672F"/>
    <w:rsid w:val="00DD0103"/>
    <w:rsid w:val="00DD0F0E"/>
    <w:rsid w:val="00DD12B4"/>
    <w:rsid w:val="00DD14F3"/>
    <w:rsid w:val="00DD1E44"/>
    <w:rsid w:val="00DD2B0E"/>
    <w:rsid w:val="00DD3B81"/>
    <w:rsid w:val="00DD3C32"/>
    <w:rsid w:val="00DD3CBA"/>
    <w:rsid w:val="00DD4CDB"/>
    <w:rsid w:val="00DD66C0"/>
    <w:rsid w:val="00DD7973"/>
    <w:rsid w:val="00DE0AA2"/>
    <w:rsid w:val="00DE134A"/>
    <w:rsid w:val="00DE1BA8"/>
    <w:rsid w:val="00DE2042"/>
    <w:rsid w:val="00DE3389"/>
    <w:rsid w:val="00DE34BC"/>
    <w:rsid w:val="00DE416A"/>
    <w:rsid w:val="00DE4621"/>
    <w:rsid w:val="00DE566A"/>
    <w:rsid w:val="00DE6004"/>
    <w:rsid w:val="00DE7087"/>
    <w:rsid w:val="00DE7B1D"/>
    <w:rsid w:val="00DF06D7"/>
    <w:rsid w:val="00DF0D83"/>
    <w:rsid w:val="00DF10FF"/>
    <w:rsid w:val="00DF2DA2"/>
    <w:rsid w:val="00DF3217"/>
    <w:rsid w:val="00DF4D68"/>
    <w:rsid w:val="00E002C0"/>
    <w:rsid w:val="00E010CC"/>
    <w:rsid w:val="00E010D8"/>
    <w:rsid w:val="00E017D9"/>
    <w:rsid w:val="00E0327D"/>
    <w:rsid w:val="00E03B9B"/>
    <w:rsid w:val="00E04785"/>
    <w:rsid w:val="00E0573B"/>
    <w:rsid w:val="00E06764"/>
    <w:rsid w:val="00E06DE9"/>
    <w:rsid w:val="00E124BC"/>
    <w:rsid w:val="00E1280E"/>
    <w:rsid w:val="00E13467"/>
    <w:rsid w:val="00E13D32"/>
    <w:rsid w:val="00E1552E"/>
    <w:rsid w:val="00E15558"/>
    <w:rsid w:val="00E157C4"/>
    <w:rsid w:val="00E15DE3"/>
    <w:rsid w:val="00E17A04"/>
    <w:rsid w:val="00E20CE3"/>
    <w:rsid w:val="00E214BB"/>
    <w:rsid w:val="00E216AE"/>
    <w:rsid w:val="00E21E98"/>
    <w:rsid w:val="00E2226F"/>
    <w:rsid w:val="00E22362"/>
    <w:rsid w:val="00E22386"/>
    <w:rsid w:val="00E236BE"/>
    <w:rsid w:val="00E23809"/>
    <w:rsid w:val="00E24995"/>
    <w:rsid w:val="00E2596E"/>
    <w:rsid w:val="00E26B8E"/>
    <w:rsid w:val="00E30A92"/>
    <w:rsid w:val="00E30EB9"/>
    <w:rsid w:val="00E3219A"/>
    <w:rsid w:val="00E3454D"/>
    <w:rsid w:val="00E35C41"/>
    <w:rsid w:val="00E35D68"/>
    <w:rsid w:val="00E35FBD"/>
    <w:rsid w:val="00E37AF4"/>
    <w:rsid w:val="00E41333"/>
    <w:rsid w:val="00E414BE"/>
    <w:rsid w:val="00E43244"/>
    <w:rsid w:val="00E43741"/>
    <w:rsid w:val="00E43819"/>
    <w:rsid w:val="00E452AD"/>
    <w:rsid w:val="00E45E78"/>
    <w:rsid w:val="00E46530"/>
    <w:rsid w:val="00E467C0"/>
    <w:rsid w:val="00E46831"/>
    <w:rsid w:val="00E46A5B"/>
    <w:rsid w:val="00E46F05"/>
    <w:rsid w:val="00E471FD"/>
    <w:rsid w:val="00E47315"/>
    <w:rsid w:val="00E50643"/>
    <w:rsid w:val="00E50D71"/>
    <w:rsid w:val="00E50DAD"/>
    <w:rsid w:val="00E51215"/>
    <w:rsid w:val="00E516D0"/>
    <w:rsid w:val="00E53E34"/>
    <w:rsid w:val="00E555BD"/>
    <w:rsid w:val="00E559F7"/>
    <w:rsid w:val="00E56039"/>
    <w:rsid w:val="00E56A76"/>
    <w:rsid w:val="00E604DD"/>
    <w:rsid w:val="00E61E3E"/>
    <w:rsid w:val="00E62389"/>
    <w:rsid w:val="00E635B5"/>
    <w:rsid w:val="00E6437C"/>
    <w:rsid w:val="00E6514A"/>
    <w:rsid w:val="00E66071"/>
    <w:rsid w:val="00E669EA"/>
    <w:rsid w:val="00E67334"/>
    <w:rsid w:val="00E6788C"/>
    <w:rsid w:val="00E706A9"/>
    <w:rsid w:val="00E7103E"/>
    <w:rsid w:val="00E712C4"/>
    <w:rsid w:val="00E7166B"/>
    <w:rsid w:val="00E71A7E"/>
    <w:rsid w:val="00E71CE3"/>
    <w:rsid w:val="00E74F2D"/>
    <w:rsid w:val="00E74FD4"/>
    <w:rsid w:val="00E7607C"/>
    <w:rsid w:val="00E80B50"/>
    <w:rsid w:val="00E81FA3"/>
    <w:rsid w:val="00E823C6"/>
    <w:rsid w:val="00E825D8"/>
    <w:rsid w:val="00E827D8"/>
    <w:rsid w:val="00E82971"/>
    <w:rsid w:val="00E82C0E"/>
    <w:rsid w:val="00E832B4"/>
    <w:rsid w:val="00E83847"/>
    <w:rsid w:val="00E84B53"/>
    <w:rsid w:val="00E85A36"/>
    <w:rsid w:val="00E873FC"/>
    <w:rsid w:val="00E9188A"/>
    <w:rsid w:val="00E92AA4"/>
    <w:rsid w:val="00E92D56"/>
    <w:rsid w:val="00E94ECD"/>
    <w:rsid w:val="00E95530"/>
    <w:rsid w:val="00E957E7"/>
    <w:rsid w:val="00E95B6F"/>
    <w:rsid w:val="00E95D58"/>
    <w:rsid w:val="00E96E54"/>
    <w:rsid w:val="00E97029"/>
    <w:rsid w:val="00E972BE"/>
    <w:rsid w:val="00E977A1"/>
    <w:rsid w:val="00EA035F"/>
    <w:rsid w:val="00EA2B97"/>
    <w:rsid w:val="00EA2C2E"/>
    <w:rsid w:val="00EA34A7"/>
    <w:rsid w:val="00EA40CB"/>
    <w:rsid w:val="00EA4B88"/>
    <w:rsid w:val="00EA512E"/>
    <w:rsid w:val="00EA5449"/>
    <w:rsid w:val="00EA6AB1"/>
    <w:rsid w:val="00EA76CB"/>
    <w:rsid w:val="00EA779E"/>
    <w:rsid w:val="00EA7B00"/>
    <w:rsid w:val="00EA7C94"/>
    <w:rsid w:val="00EB020E"/>
    <w:rsid w:val="00EB24F6"/>
    <w:rsid w:val="00EB4B5C"/>
    <w:rsid w:val="00EB50E8"/>
    <w:rsid w:val="00EB6C7B"/>
    <w:rsid w:val="00EB7A8D"/>
    <w:rsid w:val="00EB7B54"/>
    <w:rsid w:val="00EC0896"/>
    <w:rsid w:val="00EC0B70"/>
    <w:rsid w:val="00EC133A"/>
    <w:rsid w:val="00EC1995"/>
    <w:rsid w:val="00EC220B"/>
    <w:rsid w:val="00EC4081"/>
    <w:rsid w:val="00EC5228"/>
    <w:rsid w:val="00EC5A4F"/>
    <w:rsid w:val="00EC5C14"/>
    <w:rsid w:val="00EC5D5D"/>
    <w:rsid w:val="00EC76CD"/>
    <w:rsid w:val="00EC79B7"/>
    <w:rsid w:val="00EC7AD5"/>
    <w:rsid w:val="00ED17A3"/>
    <w:rsid w:val="00ED1A98"/>
    <w:rsid w:val="00ED2693"/>
    <w:rsid w:val="00ED4C5E"/>
    <w:rsid w:val="00ED526D"/>
    <w:rsid w:val="00EE0573"/>
    <w:rsid w:val="00EE0CAF"/>
    <w:rsid w:val="00EE0E63"/>
    <w:rsid w:val="00EE132E"/>
    <w:rsid w:val="00EE2CFA"/>
    <w:rsid w:val="00EE338B"/>
    <w:rsid w:val="00EE3A35"/>
    <w:rsid w:val="00EE4338"/>
    <w:rsid w:val="00EE7441"/>
    <w:rsid w:val="00EE76B1"/>
    <w:rsid w:val="00EE7E54"/>
    <w:rsid w:val="00EF0BF1"/>
    <w:rsid w:val="00EF0EF7"/>
    <w:rsid w:val="00EF2EEA"/>
    <w:rsid w:val="00EF3890"/>
    <w:rsid w:val="00EF3E19"/>
    <w:rsid w:val="00EF3EF8"/>
    <w:rsid w:val="00EF493D"/>
    <w:rsid w:val="00EF52A9"/>
    <w:rsid w:val="00EF586E"/>
    <w:rsid w:val="00EF5F13"/>
    <w:rsid w:val="00EF6677"/>
    <w:rsid w:val="00EF693A"/>
    <w:rsid w:val="00EF7273"/>
    <w:rsid w:val="00EF7E25"/>
    <w:rsid w:val="00F0125A"/>
    <w:rsid w:val="00F016AB"/>
    <w:rsid w:val="00F01D4D"/>
    <w:rsid w:val="00F01FEF"/>
    <w:rsid w:val="00F047CF"/>
    <w:rsid w:val="00F049F2"/>
    <w:rsid w:val="00F05AC7"/>
    <w:rsid w:val="00F07BDB"/>
    <w:rsid w:val="00F1083F"/>
    <w:rsid w:val="00F12099"/>
    <w:rsid w:val="00F12898"/>
    <w:rsid w:val="00F12C0A"/>
    <w:rsid w:val="00F1328B"/>
    <w:rsid w:val="00F134F6"/>
    <w:rsid w:val="00F13CEE"/>
    <w:rsid w:val="00F143AC"/>
    <w:rsid w:val="00F147ED"/>
    <w:rsid w:val="00F153C4"/>
    <w:rsid w:val="00F15F8B"/>
    <w:rsid w:val="00F16061"/>
    <w:rsid w:val="00F16FB7"/>
    <w:rsid w:val="00F1759B"/>
    <w:rsid w:val="00F17AB2"/>
    <w:rsid w:val="00F20428"/>
    <w:rsid w:val="00F2071F"/>
    <w:rsid w:val="00F2075D"/>
    <w:rsid w:val="00F21172"/>
    <w:rsid w:val="00F21F27"/>
    <w:rsid w:val="00F22C99"/>
    <w:rsid w:val="00F22C9B"/>
    <w:rsid w:val="00F23462"/>
    <w:rsid w:val="00F2469F"/>
    <w:rsid w:val="00F25073"/>
    <w:rsid w:val="00F2637F"/>
    <w:rsid w:val="00F27875"/>
    <w:rsid w:val="00F27A15"/>
    <w:rsid w:val="00F31558"/>
    <w:rsid w:val="00F320D2"/>
    <w:rsid w:val="00F339AD"/>
    <w:rsid w:val="00F339CC"/>
    <w:rsid w:val="00F33AA1"/>
    <w:rsid w:val="00F35081"/>
    <w:rsid w:val="00F354BC"/>
    <w:rsid w:val="00F368DE"/>
    <w:rsid w:val="00F37A25"/>
    <w:rsid w:val="00F37A71"/>
    <w:rsid w:val="00F408F8"/>
    <w:rsid w:val="00F40DF1"/>
    <w:rsid w:val="00F41EC6"/>
    <w:rsid w:val="00F42545"/>
    <w:rsid w:val="00F42E9A"/>
    <w:rsid w:val="00F4339D"/>
    <w:rsid w:val="00F43430"/>
    <w:rsid w:val="00F44E5E"/>
    <w:rsid w:val="00F45CDD"/>
    <w:rsid w:val="00F46343"/>
    <w:rsid w:val="00F471AB"/>
    <w:rsid w:val="00F47713"/>
    <w:rsid w:val="00F50827"/>
    <w:rsid w:val="00F50AED"/>
    <w:rsid w:val="00F526C5"/>
    <w:rsid w:val="00F527D5"/>
    <w:rsid w:val="00F52ADE"/>
    <w:rsid w:val="00F5462B"/>
    <w:rsid w:val="00F550A9"/>
    <w:rsid w:val="00F55A76"/>
    <w:rsid w:val="00F55FCF"/>
    <w:rsid w:val="00F561B4"/>
    <w:rsid w:val="00F6072D"/>
    <w:rsid w:val="00F61529"/>
    <w:rsid w:val="00F61A2F"/>
    <w:rsid w:val="00F61D0B"/>
    <w:rsid w:val="00F62124"/>
    <w:rsid w:val="00F62537"/>
    <w:rsid w:val="00F62662"/>
    <w:rsid w:val="00F62F39"/>
    <w:rsid w:val="00F65085"/>
    <w:rsid w:val="00F65542"/>
    <w:rsid w:val="00F66025"/>
    <w:rsid w:val="00F66E48"/>
    <w:rsid w:val="00F67C3A"/>
    <w:rsid w:val="00F67F4A"/>
    <w:rsid w:val="00F70D6C"/>
    <w:rsid w:val="00F71A9A"/>
    <w:rsid w:val="00F735D4"/>
    <w:rsid w:val="00F73C67"/>
    <w:rsid w:val="00F73FFA"/>
    <w:rsid w:val="00F74D13"/>
    <w:rsid w:val="00F74F6C"/>
    <w:rsid w:val="00F756ED"/>
    <w:rsid w:val="00F75804"/>
    <w:rsid w:val="00F76A46"/>
    <w:rsid w:val="00F76EF9"/>
    <w:rsid w:val="00F774EF"/>
    <w:rsid w:val="00F77AB3"/>
    <w:rsid w:val="00F807C6"/>
    <w:rsid w:val="00F80AB6"/>
    <w:rsid w:val="00F81423"/>
    <w:rsid w:val="00F81B4F"/>
    <w:rsid w:val="00F83236"/>
    <w:rsid w:val="00F840C6"/>
    <w:rsid w:val="00F84737"/>
    <w:rsid w:val="00F853E8"/>
    <w:rsid w:val="00F858DB"/>
    <w:rsid w:val="00F87080"/>
    <w:rsid w:val="00F87EBC"/>
    <w:rsid w:val="00F90259"/>
    <w:rsid w:val="00F90293"/>
    <w:rsid w:val="00F90EA0"/>
    <w:rsid w:val="00F91818"/>
    <w:rsid w:val="00F91BA9"/>
    <w:rsid w:val="00F92E11"/>
    <w:rsid w:val="00F9359B"/>
    <w:rsid w:val="00F948E5"/>
    <w:rsid w:val="00F969F1"/>
    <w:rsid w:val="00F97073"/>
    <w:rsid w:val="00F978D6"/>
    <w:rsid w:val="00F97C33"/>
    <w:rsid w:val="00FA1570"/>
    <w:rsid w:val="00FA1CEB"/>
    <w:rsid w:val="00FA24F3"/>
    <w:rsid w:val="00FA2B86"/>
    <w:rsid w:val="00FA506F"/>
    <w:rsid w:val="00FA59D9"/>
    <w:rsid w:val="00FA7B2D"/>
    <w:rsid w:val="00FA7BB4"/>
    <w:rsid w:val="00FA7D13"/>
    <w:rsid w:val="00FB0069"/>
    <w:rsid w:val="00FB0468"/>
    <w:rsid w:val="00FB1067"/>
    <w:rsid w:val="00FB1C30"/>
    <w:rsid w:val="00FB23F2"/>
    <w:rsid w:val="00FB264B"/>
    <w:rsid w:val="00FB30BC"/>
    <w:rsid w:val="00FB4E45"/>
    <w:rsid w:val="00FB515B"/>
    <w:rsid w:val="00FB5B76"/>
    <w:rsid w:val="00FB62F7"/>
    <w:rsid w:val="00FB7B5F"/>
    <w:rsid w:val="00FB7FF1"/>
    <w:rsid w:val="00FC0D85"/>
    <w:rsid w:val="00FC1756"/>
    <w:rsid w:val="00FC1B09"/>
    <w:rsid w:val="00FC20D2"/>
    <w:rsid w:val="00FC2832"/>
    <w:rsid w:val="00FC3986"/>
    <w:rsid w:val="00FC3C0B"/>
    <w:rsid w:val="00FC3DAF"/>
    <w:rsid w:val="00FC48F2"/>
    <w:rsid w:val="00FC5A6D"/>
    <w:rsid w:val="00FC7206"/>
    <w:rsid w:val="00FC73D8"/>
    <w:rsid w:val="00FC7ECD"/>
    <w:rsid w:val="00FD066A"/>
    <w:rsid w:val="00FD0B2F"/>
    <w:rsid w:val="00FD0BE6"/>
    <w:rsid w:val="00FD0E85"/>
    <w:rsid w:val="00FD2229"/>
    <w:rsid w:val="00FD23A0"/>
    <w:rsid w:val="00FD3403"/>
    <w:rsid w:val="00FD573B"/>
    <w:rsid w:val="00FD5933"/>
    <w:rsid w:val="00FD5EC6"/>
    <w:rsid w:val="00FD5F6C"/>
    <w:rsid w:val="00FD6598"/>
    <w:rsid w:val="00FD7221"/>
    <w:rsid w:val="00FE1644"/>
    <w:rsid w:val="00FE39F2"/>
    <w:rsid w:val="00FE48C7"/>
    <w:rsid w:val="00FE67F3"/>
    <w:rsid w:val="00FE68D9"/>
    <w:rsid w:val="00FF1BDB"/>
    <w:rsid w:val="00FF257D"/>
    <w:rsid w:val="00FF3448"/>
    <w:rsid w:val="00FF406C"/>
    <w:rsid w:val="00FF4380"/>
    <w:rsid w:val="00FF48EA"/>
    <w:rsid w:val="00FF4B0B"/>
    <w:rsid w:val="00FF6D04"/>
    <w:rsid w:val="00FF763B"/>
    <w:rsid w:val="00FF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3CF5A"/>
  <w15:docId w15:val="{A8250FC9-42F4-4F0A-8B6D-45EA818D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F24"/>
    <w:pPr>
      <w:widowControl w:val="0"/>
      <w:jc w:val="both"/>
    </w:pPr>
  </w:style>
  <w:style w:type="paragraph" w:styleId="1">
    <w:name w:val="heading 1"/>
    <w:basedOn w:val="a"/>
    <w:next w:val="a"/>
    <w:link w:val="10"/>
    <w:uiPriority w:val="9"/>
    <w:qFormat/>
    <w:rsid w:val="002A52E0"/>
    <w:pPr>
      <w:keepNext/>
      <w:keepLines/>
      <w:spacing w:before="340" w:after="330" w:line="578" w:lineRule="auto"/>
      <w:outlineLvl w:val="0"/>
    </w:pPr>
    <w:rPr>
      <w:b/>
      <w:bCs/>
      <w:kern w:val="44"/>
      <w:sz w:val="44"/>
      <w:szCs w:val="44"/>
    </w:rPr>
  </w:style>
  <w:style w:type="paragraph" w:styleId="2">
    <w:name w:val="heading 2"/>
    <w:basedOn w:val="a"/>
    <w:next w:val="a"/>
    <w:link w:val="20"/>
    <w:qFormat/>
    <w:rsid w:val="00AD7B9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unhideWhenUsed/>
    <w:qFormat/>
    <w:rsid w:val="003366D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2E0"/>
    <w:rPr>
      <w:b/>
      <w:bCs/>
      <w:kern w:val="44"/>
      <w:sz w:val="44"/>
      <w:szCs w:val="44"/>
    </w:rPr>
  </w:style>
  <w:style w:type="character" w:customStyle="1" w:styleId="20">
    <w:name w:val="标题 2 字符"/>
    <w:basedOn w:val="a0"/>
    <w:link w:val="2"/>
    <w:rsid w:val="00AD7B9C"/>
    <w:rPr>
      <w:rFonts w:ascii="Arial" w:eastAsia="黑体" w:hAnsi="Arial" w:cs="Times New Roman"/>
      <w:b/>
      <w:bCs/>
      <w:sz w:val="32"/>
      <w:szCs w:val="32"/>
    </w:rPr>
  </w:style>
  <w:style w:type="character" w:customStyle="1" w:styleId="30">
    <w:name w:val="标题 3 字符"/>
    <w:basedOn w:val="a0"/>
    <w:link w:val="3"/>
    <w:uiPriority w:val="9"/>
    <w:rsid w:val="003366D3"/>
    <w:rPr>
      <w:b/>
      <w:bCs/>
      <w:sz w:val="32"/>
      <w:szCs w:val="32"/>
    </w:rPr>
  </w:style>
  <w:style w:type="paragraph" w:styleId="a3">
    <w:name w:val="Balloon Text"/>
    <w:basedOn w:val="a"/>
    <w:link w:val="a4"/>
    <w:uiPriority w:val="99"/>
    <w:semiHidden/>
    <w:unhideWhenUsed/>
    <w:rsid w:val="00DB13D0"/>
    <w:rPr>
      <w:sz w:val="18"/>
      <w:szCs w:val="18"/>
    </w:rPr>
  </w:style>
  <w:style w:type="character" w:customStyle="1" w:styleId="a4">
    <w:name w:val="批注框文本 字符"/>
    <w:basedOn w:val="a0"/>
    <w:link w:val="a3"/>
    <w:uiPriority w:val="99"/>
    <w:semiHidden/>
    <w:rsid w:val="00DB13D0"/>
    <w:rPr>
      <w:sz w:val="18"/>
      <w:szCs w:val="18"/>
    </w:rPr>
  </w:style>
  <w:style w:type="table" w:styleId="a5">
    <w:name w:val="Table Grid"/>
    <w:basedOn w:val="a1"/>
    <w:uiPriority w:val="59"/>
    <w:rsid w:val="00E468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DE3389"/>
    <w:pPr>
      <w:ind w:firstLineChars="200" w:firstLine="420"/>
    </w:pPr>
  </w:style>
  <w:style w:type="paragraph" w:styleId="a7">
    <w:name w:val="header"/>
    <w:basedOn w:val="a"/>
    <w:link w:val="a8"/>
    <w:uiPriority w:val="99"/>
    <w:unhideWhenUsed/>
    <w:rsid w:val="0003050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30508"/>
    <w:rPr>
      <w:sz w:val="18"/>
      <w:szCs w:val="18"/>
    </w:rPr>
  </w:style>
  <w:style w:type="paragraph" w:styleId="a9">
    <w:name w:val="footer"/>
    <w:basedOn w:val="a"/>
    <w:link w:val="aa"/>
    <w:uiPriority w:val="99"/>
    <w:unhideWhenUsed/>
    <w:rsid w:val="00030508"/>
    <w:pPr>
      <w:tabs>
        <w:tab w:val="center" w:pos="4153"/>
        <w:tab w:val="right" w:pos="8306"/>
      </w:tabs>
      <w:snapToGrid w:val="0"/>
      <w:jc w:val="left"/>
    </w:pPr>
    <w:rPr>
      <w:sz w:val="18"/>
      <w:szCs w:val="18"/>
    </w:rPr>
  </w:style>
  <w:style w:type="character" w:customStyle="1" w:styleId="aa">
    <w:name w:val="页脚 字符"/>
    <w:basedOn w:val="a0"/>
    <w:link w:val="a9"/>
    <w:uiPriority w:val="99"/>
    <w:rsid w:val="00030508"/>
    <w:rPr>
      <w:sz w:val="18"/>
      <w:szCs w:val="18"/>
    </w:rPr>
  </w:style>
  <w:style w:type="character" w:styleId="ab">
    <w:name w:val="Hyperlink"/>
    <w:basedOn w:val="a0"/>
    <w:uiPriority w:val="99"/>
    <w:unhideWhenUsed/>
    <w:rsid w:val="00EE7E54"/>
    <w:rPr>
      <w:color w:val="0000FF"/>
      <w:u w:val="single"/>
    </w:rPr>
  </w:style>
  <w:style w:type="character" w:styleId="ac">
    <w:name w:val="FollowedHyperlink"/>
    <w:basedOn w:val="a0"/>
    <w:uiPriority w:val="99"/>
    <w:semiHidden/>
    <w:unhideWhenUsed/>
    <w:rsid w:val="00EE7E54"/>
    <w:rPr>
      <w:color w:val="800080"/>
      <w:u w:val="single"/>
    </w:rPr>
  </w:style>
  <w:style w:type="paragraph" w:customStyle="1" w:styleId="font5">
    <w:name w:val="font5"/>
    <w:basedOn w:val="a"/>
    <w:rsid w:val="00EE7E5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EE7E54"/>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7">
    <w:name w:val="font7"/>
    <w:basedOn w:val="a"/>
    <w:rsid w:val="00EE7E54"/>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8">
    <w:name w:val="font8"/>
    <w:basedOn w:val="a"/>
    <w:rsid w:val="00EE7E54"/>
    <w:pPr>
      <w:widowControl/>
      <w:spacing w:before="100" w:beforeAutospacing="1" w:after="100" w:afterAutospacing="1"/>
      <w:jc w:val="left"/>
    </w:pPr>
    <w:rPr>
      <w:rFonts w:ascii="仿宋_GB2312" w:eastAsia="仿宋_GB2312" w:hAnsi="宋体" w:cs="宋体"/>
      <w:b/>
      <w:bCs/>
      <w:color w:val="000000"/>
      <w:kern w:val="0"/>
      <w:sz w:val="24"/>
      <w:szCs w:val="24"/>
    </w:rPr>
  </w:style>
  <w:style w:type="paragraph" w:customStyle="1" w:styleId="xl63">
    <w:name w:val="xl63"/>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5">
    <w:name w:val="xl65"/>
    <w:basedOn w:val="a"/>
    <w:rsid w:val="00EE7E54"/>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6">
    <w:name w:val="xl66"/>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8">
    <w:name w:val="xl68"/>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0">
    <w:name w:val="xl70"/>
    <w:basedOn w:val="a"/>
    <w:rsid w:val="00845C0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Char">
    <w:name w:val="Char"/>
    <w:basedOn w:val="a"/>
    <w:rsid w:val="002A43A6"/>
    <w:pPr>
      <w:spacing w:line="360" w:lineRule="auto"/>
      <w:ind w:firstLineChars="200" w:firstLine="200"/>
    </w:pPr>
    <w:rPr>
      <w:rFonts w:ascii="宋体" w:eastAsia="宋体" w:hAnsi="宋体" w:cs="宋体"/>
      <w:sz w:val="24"/>
      <w:szCs w:val="24"/>
    </w:rPr>
  </w:style>
  <w:style w:type="paragraph" w:customStyle="1" w:styleId="font9">
    <w:name w:val="font9"/>
    <w:basedOn w:val="a"/>
    <w:rsid w:val="00A80BD6"/>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rsid w:val="00A80BD6"/>
    <w:pPr>
      <w:widowControl/>
      <w:spacing w:before="100" w:beforeAutospacing="1" w:after="100" w:afterAutospacing="1"/>
      <w:jc w:val="left"/>
    </w:pPr>
    <w:rPr>
      <w:rFonts w:ascii="仿宋_GB2312" w:eastAsia="仿宋_GB2312" w:hAnsi="宋体" w:cs="宋体"/>
      <w:b/>
      <w:bCs/>
      <w:kern w:val="0"/>
      <w:sz w:val="22"/>
    </w:rPr>
  </w:style>
  <w:style w:type="paragraph" w:customStyle="1" w:styleId="font0">
    <w:name w:val="font0"/>
    <w:basedOn w:val="a"/>
    <w:rsid w:val="00A80BD6"/>
    <w:pPr>
      <w:widowControl/>
      <w:spacing w:before="100" w:beforeAutospacing="1" w:after="100" w:afterAutospacing="1"/>
      <w:jc w:val="left"/>
    </w:pPr>
    <w:rPr>
      <w:rFonts w:ascii="Tahoma" w:eastAsia="宋体" w:hAnsi="Tahoma" w:cs="Tahoma"/>
      <w:color w:val="000000"/>
      <w:kern w:val="0"/>
      <w:sz w:val="22"/>
    </w:rPr>
  </w:style>
  <w:style w:type="paragraph" w:styleId="ad">
    <w:name w:val="Normal (Web)"/>
    <w:basedOn w:val="a"/>
    <w:uiPriority w:val="99"/>
    <w:semiHidden/>
    <w:unhideWhenUsed/>
    <w:rsid w:val="002F5560"/>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276CC5"/>
    <w:pPr>
      <w:widowControl w:val="0"/>
      <w:autoSpaceDE w:val="0"/>
      <w:autoSpaceDN w:val="0"/>
      <w:adjustRightInd w:val="0"/>
    </w:pPr>
    <w:rPr>
      <w:rFonts w:ascii="Times New Roman" w:hAnsi="Times New Roman" w:cs="Times New Roman"/>
      <w:color w:val="000000"/>
      <w:kern w:val="0"/>
      <w:sz w:val="24"/>
      <w:szCs w:val="24"/>
    </w:rPr>
  </w:style>
  <w:style w:type="paragraph" w:styleId="21">
    <w:name w:val="toc 2"/>
    <w:basedOn w:val="a"/>
    <w:next w:val="a"/>
    <w:autoRedefine/>
    <w:uiPriority w:val="39"/>
    <w:rsid w:val="001D68F7"/>
    <w:pPr>
      <w:tabs>
        <w:tab w:val="right" w:leader="dot" w:pos="8302"/>
      </w:tabs>
      <w:ind w:left="28" w:firstLine="181"/>
      <w:jc w:val="center"/>
    </w:pPr>
    <w:rPr>
      <w:rFonts w:ascii="Times New Roman" w:eastAsia="黑体" w:hAnsi="Times New Roman" w:cs="Times New Roman"/>
      <w:bCs/>
      <w:noProof/>
      <w:kern w:val="44"/>
      <w:sz w:val="36"/>
      <w:szCs w:val="36"/>
    </w:rPr>
  </w:style>
  <w:style w:type="paragraph" w:styleId="11">
    <w:name w:val="toc 1"/>
    <w:basedOn w:val="a"/>
    <w:next w:val="a"/>
    <w:autoRedefine/>
    <w:uiPriority w:val="39"/>
    <w:unhideWhenUsed/>
    <w:rsid w:val="00D067CC"/>
  </w:style>
  <w:style w:type="paragraph" w:styleId="TOC">
    <w:name w:val="TOC Heading"/>
    <w:basedOn w:val="1"/>
    <w:next w:val="a"/>
    <w:uiPriority w:val="39"/>
    <w:unhideWhenUsed/>
    <w:qFormat/>
    <w:rsid w:val="002A52E0"/>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e">
    <w:name w:val="annotation reference"/>
    <w:basedOn w:val="a0"/>
    <w:uiPriority w:val="99"/>
    <w:semiHidden/>
    <w:unhideWhenUsed/>
    <w:rsid w:val="00806257"/>
    <w:rPr>
      <w:sz w:val="21"/>
      <w:szCs w:val="21"/>
    </w:rPr>
  </w:style>
  <w:style w:type="paragraph" w:styleId="af">
    <w:name w:val="annotation text"/>
    <w:basedOn w:val="a"/>
    <w:link w:val="af0"/>
    <w:uiPriority w:val="99"/>
    <w:semiHidden/>
    <w:unhideWhenUsed/>
    <w:rsid w:val="00806257"/>
    <w:pPr>
      <w:jc w:val="left"/>
    </w:pPr>
  </w:style>
  <w:style w:type="character" w:customStyle="1" w:styleId="af0">
    <w:name w:val="批注文字 字符"/>
    <w:basedOn w:val="a0"/>
    <w:link w:val="af"/>
    <w:uiPriority w:val="99"/>
    <w:semiHidden/>
    <w:rsid w:val="00806257"/>
  </w:style>
  <w:style w:type="paragraph" w:styleId="af1">
    <w:name w:val="annotation subject"/>
    <w:basedOn w:val="af"/>
    <w:next w:val="af"/>
    <w:link w:val="af2"/>
    <w:uiPriority w:val="99"/>
    <w:semiHidden/>
    <w:unhideWhenUsed/>
    <w:rsid w:val="00806257"/>
    <w:rPr>
      <w:b/>
      <w:bCs/>
    </w:rPr>
  </w:style>
  <w:style w:type="character" w:customStyle="1" w:styleId="af2">
    <w:name w:val="批注主题 字符"/>
    <w:basedOn w:val="af0"/>
    <w:link w:val="af1"/>
    <w:uiPriority w:val="99"/>
    <w:semiHidden/>
    <w:rsid w:val="008062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6337">
      <w:bodyDiv w:val="1"/>
      <w:marLeft w:val="0"/>
      <w:marRight w:val="0"/>
      <w:marTop w:val="0"/>
      <w:marBottom w:val="0"/>
      <w:divBdr>
        <w:top w:val="none" w:sz="0" w:space="0" w:color="auto"/>
        <w:left w:val="none" w:sz="0" w:space="0" w:color="auto"/>
        <w:bottom w:val="none" w:sz="0" w:space="0" w:color="auto"/>
        <w:right w:val="none" w:sz="0" w:space="0" w:color="auto"/>
      </w:divBdr>
    </w:div>
    <w:div w:id="67963993">
      <w:bodyDiv w:val="1"/>
      <w:marLeft w:val="0"/>
      <w:marRight w:val="0"/>
      <w:marTop w:val="0"/>
      <w:marBottom w:val="0"/>
      <w:divBdr>
        <w:top w:val="none" w:sz="0" w:space="0" w:color="auto"/>
        <w:left w:val="none" w:sz="0" w:space="0" w:color="auto"/>
        <w:bottom w:val="none" w:sz="0" w:space="0" w:color="auto"/>
        <w:right w:val="none" w:sz="0" w:space="0" w:color="auto"/>
      </w:divBdr>
    </w:div>
    <w:div w:id="70854871">
      <w:bodyDiv w:val="1"/>
      <w:marLeft w:val="0"/>
      <w:marRight w:val="0"/>
      <w:marTop w:val="0"/>
      <w:marBottom w:val="0"/>
      <w:divBdr>
        <w:top w:val="none" w:sz="0" w:space="0" w:color="auto"/>
        <w:left w:val="none" w:sz="0" w:space="0" w:color="auto"/>
        <w:bottom w:val="none" w:sz="0" w:space="0" w:color="auto"/>
        <w:right w:val="none" w:sz="0" w:space="0" w:color="auto"/>
      </w:divBdr>
    </w:div>
    <w:div w:id="97024092">
      <w:bodyDiv w:val="1"/>
      <w:marLeft w:val="0"/>
      <w:marRight w:val="0"/>
      <w:marTop w:val="0"/>
      <w:marBottom w:val="0"/>
      <w:divBdr>
        <w:top w:val="none" w:sz="0" w:space="0" w:color="auto"/>
        <w:left w:val="none" w:sz="0" w:space="0" w:color="auto"/>
        <w:bottom w:val="none" w:sz="0" w:space="0" w:color="auto"/>
        <w:right w:val="none" w:sz="0" w:space="0" w:color="auto"/>
      </w:divBdr>
    </w:div>
    <w:div w:id="102268785">
      <w:bodyDiv w:val="1"/>
      <w:marLeft w:val="0"/>
      <w:marRight w:val="0"/>
      <w:marTop w:val="0"/>
      <w:marBottom w:val="0"/>
      <w:divBdr>
        <w:top w:val="none" w:sz="0" w:space="0" w:color="auto"/>
        <w:left w:val="none" w:sz="0" w:space="0" w:color="auto"/>
        <w:bottom w:val="none" w:sz="0" w:space="0" w:color="auto"/>
        <w:right w:val="none" w:sz="0" w:space="0" w:color="auto"/>
      </w:divBdr>
    </w:div>
    <w:div w:id="106001538">
      <w:bodyDiv w:val="1"/>
      <w:marLeft w:val="0"/>
      <w:marRight w:val="0"/>
      <w:marTop w:val="0"/>
      <w:marBottom w:val="0"/>
      <w:divBdr>
        <w:top w:val="none" w:sz="0" w:space="0" w:color="auto"/>
        <w:left w:val="none" w:sz="0" w:space="0" w:color="auto"/>
        <w:bottom w:val="none" w:sz="0" w:space="0" w:color="auto"/>
        <w:right w:val="none" w:sz="0" w:space="0" w:color="auto"/>
      </w:divBdr>
      <w:divsChild>
        <w:div w:id="1226068431">
          <w:marLeft w:val="0"/>
          <w:marRight w:val="0"/>
          <w:marTop w:val="0"/>
          <w:marBottom w:val="0"/>
          <w:divBdr>
            <w:top w:val="none" w:sz="0" w:space="0" w:color="auto"/>
            <w:left w:val="none" w:sz="0" w:space="0" w:color="auto"/>
            <w:bottom w:val="none" w:sz="0" w:space="0" w:color="auto"/>
            <w:right w:val="none" w:sz="0" w:space="0" w:color="auto"/>
          </w:divBdr>
        </w:div>
      </w:divsChild>
    </w:div>
    <w:div w:id="109322138">
      <w:bodyDiv w:val="1"/>
      <w:marLeft w:val="0"/>
      <w:marRight w:val="0"/>
      <w:marTop w:val="0"/>
      <w:marBottom w:val="0"/>
      <w:divBdr>
        <w:top w:val="none" w:sz="0" w:space="0" w:color="auto"/>
        <w:left w:val="none" w:sz="0" w:space="0" w:color="auto"/>
        <w:bottom w:val="none" w:sz="0" w:space="0" w:color="auto"/>
        <w:right w:val="none" w:sz="0" w:space="0" w:color="auto"/>
      </w:divBdr>
    </w:div>
    <w:div w:id="123817369">
      <w:bodyDiv w:val="1"/>
      <w:marLeft w:val="0"/>
      <w:marRight w:val="0"/>
      <w:marTop w:val="0"/>
      <w:marBottom w:val="0"/>
      <w:divBdr>
        <w:top w:val="none" w:sz="0" w:space="0" w:color="auto"/>
        <w:left w:val="none" w:sz="0" w:space="0" w:color="auto"/>
        <w:bottom w:val="none" w:sz="0" w:space="0" w:color="auto"/>
        <w:right w:val="none" w:sz="0" w:space="0" w:color="auto"/>
      </w:divBdr>
    </w:div>
    <w:div w:id="130679331">
      <w:bodyDiv w:val="1"/>
      <w:marLeft w:val="0"/>
      <w:marRight w:val="0"/>
      <w:marTop w:val="0"/>
      <w:marBottom w:val="0"/>
      <w:divBdr>
        <w:top w:val="none" w:sz="0" w:space="0" w:color="auto"/>
        <w:left w:val="none" w:sz="0" w:space="0" w:color="auto"/>
        <w:bottom w:val="none" w:sz="0" w:space="0" w:color="auto"/>
        <w:right w:val="none" w:sz="0" w:space="0" w:color="auto"/>
      </w:divBdr>
      <w:divsChild>
        <w:div w:id="250311218">
          <w:marLeft w:val="0"/>
          <w:marRight w:val="0"/>
          <w:marTop w:val="0"/>
          <w:marBottom w:val="0"/>
          <w:divBdr>
            <w:top w:val="none" w:sz="0" w:space="0" w:color="auto"/>
            <w:left w:val="none" w:sz="0" w:space="0" w:color="auto"/>
            <w:bottom w:val="none" w:sz="0" w:space="0" w:color="auto"/>
            <w:right w:val="none" w:sz="0" w:space="0" w:color="auto"/>
          </w:divBdr>
        </w:div>
      </w:divsChild>
    </w:div>
    <w:div w:id="221018134">
      <w:bodyDiv w:val="1"/>
      <w:marLeft w:val="0"/>
      <w:marRight w:val="0"/>
      <w:marTop w:val="0"/>
      <w:marBottom w:val="0"/>
      <w:divBdr>
        <w:top w:val="none" w:sz="0" w:space="0" w:color="auto"/>
        <w:left w:val="none" w:sz="0" w:space="0" w:color="auto"/>
        <w:bottom w:val="none" w:sz="0" w:space="0" w:color="auto"/>
        <w:right w:val="none" w:sz="0" w:space="0" w:color="auto"/>
      </w:divBdr>
    </w:div>
    <w:div w:id="227762194">
      <w:bodyDiv w:val="1"/>
      <w:marLeft w:val="0"/>
      <w:marRight w:val="0"/>
      <w:marTop w:val="0"/>
      <w:marBottom w:val="0"/>
      <w:divBdr>
        <w:top w:val="none" w:sz="0" w:space="0" w:color="auto"/>
        <w:left w:val="none" w:sz="0" w:space="0" w:color="auto"/>
        <w:bottom w:val="none" w:sz="0" w:space="0" w:color="auto"/>
        <w:right w:val="none" w:sz="0" w:space="0" w:color="auto"/>
      </w:divBdr>
    </w:div>
    <w:div w:id="260842424">
      <w:bodyDiv w:val="1"/>
      <w:marLeft w:val="0"/>
      <w:marRight w:val="0"/>
      <w:marTop w:val="0"/>
      <w:marBottom w:val="0"/>
      <w:divBdr>
        <w:top w:val="none" w:sz="0" w:space="0" w:color="auto"/>
        <w:left w:val="none" w:sz="0" w:space="0" w:color="auto"/>
        <w:bottom w:val="none" w:sz="0" w:space="0" w:color="auto"/>
        <w:right w:val="none" w:sz="0" w:space="0" w:color="auto"/>
      </w:divBdr>
    </w:div>
    <w:div w:id="287322553">
      <w:bodyDiv w:val="1"/>
      <w:marLeft w:val="0"/>
      <w:marRight w:val="0"/>
      <w:marTop w:val="0"/>
      <w:marBottom w:val="0"/>
      <w:divBdr>
        <w:top w:val="none" w:sz="0" w:space="0" w:color="auto"/>
        <w:left w:val="none" w:sz="0" w:space="0" w:color="auto"/>
        <w:bottom w:val="none" w:sz="0" w:space="0" w:color="auto"/>
        <w:right w:val="none" w:sz="0" w:space="0" w:color="auto"/>
      </w:divBdr>
    </w:div>
    <w:div w:id="328951594">
      <w:bodyDiv w:val="1"/>
      <w:marLeft w:val="0"/>
      <w:marRight w:val="0"/>
      <w:marTop w:val="0"/>
      <w:marBottom w:val="0"/>
      <w:divBdr>
        <w:top w:val="none" w:sz="0" w:space="0" w:color="auto"/>
        <w:left w:val="none" w:sz="0" w:space="0" w:color="auto"/>
        <w:bottom w:val="none" w:sz="0" w:space="0" w:color="auto"/>
        <w:right w:val="none" w:sz="0" w:space="0" w:color="auto"/>
      </w:divBdr>
      <w:divsChild>
        <w:div w:id="969558392">
          <w:marLeft w:val="0"/>
          <w:marRight w:val="0"/>
          <w:marTop w:val="0"/>
          <w:marBottom w:val="0"/>
          <w:divBdr>
            <w:top w:val="none" w:sz="0" w:space="0" w:color="auto"/>
            <w:left w:val="none" w:sz="0" w:space="0" w:color="auto"/>
            <w:bottom w:val="none" w:sz="0" w:space="0" w:color="auto"/>
            <w:right w:val="none" w:sz="0" w:space="0" w:color="auto"/>
          </w:divBdr>
        </w:div>
      </w:divsChild>
    </w:div>
    <w:div w:id="367802746">
      <w:bodyDiv w:val="1"/>
      <w:marLeft w:val="0"/>
      <w:marRight w:val="0"/>
      <w:marTop w:val="0"/>
      <w:marBottom w:val="0"/>
      <w:divBdr>
        <w:top w:val="none" w:sz="0" w:space="0" w:color="auto"/>
        <w:left w:val="none" w:sz="0" w:space="0" w:color="auto"/>
        <w:bottom w:val="none" w:sz="0" w:space="0" w:color="auto"/>
        <w:right w:val="none" w:sz="0" w:space="0" w:color="auto"/>
      </w:divBdr>
    </w:div>
    <w:div w:id="382758439">
      <w:bodyDiv w:val="1"/>
      <w:marLeft w:val="0"/>
      <w:marRight w:val="0"/>
      <w:marTop w:val="0"/>
      <w:marBottom w:val="0"/>
      <w:divBdr>
        <w:top w:val="none" w:sz="0" w:space="0" w:color="auto"/>
        <w:left w:val="none" w:sz="0" w:space="0" w:color="auto"/>
        <w:bottom w:val="none" w:sz="0" w:space="0" w:color="auto"/>
        <w:right w:val="none" w:sz="0" w:space="0" w:color="auto"/>
      </w:divBdr>
    </w:div>
    <w:div w:id="394276025">
      <w:bodyDiv w:val="1"/>
      <w:marLeft w:val="0"/>
      <w:marRight w:val="0"/>
      <w:marTop w:val="0"/>
      <w:marBottom w:val="0"/>
      <w:divBdr>
        <w:top w:val="none" w:sz="0" w:space="0" w:color="auto"/>
        <w:left w:val="none" w:sz="0" w:space="0" w:color="auto"/>
        <w:bottom w:val="none" w:sz="0" w:space="0" w:color="auto"/>
        <w:right w:val="none" w:sz="0" w:space="0" w:color="auto"/>
      </w:divBdr>
    </w:div>
    <w:div w:id="398404530">
      <w:bodyDiv w:val="1"/>
      <w:marLeft w:val="0"/>
      <w:marRight w:val="0"/>
      <w:marTop w:val="0"/>
      <w:marBottom w:val="0"/>
      <w:divBdr>
        <w:top w:val="none" w:sz="0" w:space="0" w:color="auto"/>
        <w:left w:val="none" w:sz="0" w:space="0" w:color="auto"/>
        <w:bottom w:val="none" w:sz="0" w:space="0" w:color="auto"/>
        <w:right w:val="none" w:sz="0" w:space="0" w:color="auto"/>
      </w:divBdr>
    </w:div>
    <w:div w:id="423459768">
      <w:bodyDiv w:val="1"/>
      <w:marLeft w:val="0"/>
      <w:marRight w:val="0"/>
      <w:marTop w:val="0"/>
      <w:marBottom w:val="0"/>
      <w:divBdr>
        <w:top w:val="none" w:sz="0" w:space="0" w:color="auto"/>
        <w:left w:val="none" w:sz="0" w:space="0" w:color="auto"/>
        <w:bottom w:val="none" w:sz="0" w:space="0" w:color="auto"/>
        <w:right w:val="none" w:sz="0" w:space="0" w:color="auto"/>
      </w:divBdr>
    </w:div>
    <w:div w:id="441266823">
      <w:bodyDiv w:val="1"/>
      <w:marLeft w:val="0"/>
      <w:marRight w:val="0"/>
      <w:marTop w:val="0"/>
      <w:marBottom w:val="0"/>
      <w:divBdr>
        <w:top w:val="none" w:sz="0" w:space="0" w:color="auto"/>
        <w:left w:val="none" w:sz="0" w:space="0" w:color="auto"/>
        <w:bottom w:val="none" w:sz="0" w:space="0" w:color="auto"/>
        <w:right w:val="none" w:sz="0" w:space="0" w:color="auto"/>
      </w:divBdr>
    </w:div>
    <w:div w:id="462433031">
      <w:bodyDiv w:val="1"/>
      <w:marLeft w:val="0"/>
      <w:marRight w:val="0"/>
      <w:marTop w:val="0"/>
      <w:marBottom w:val="0"/>
      <w:divBdr>
        <w:top w:val="none" w:sz="0" w:space="0" w:color="auto"/>
        <w:left w:val="none" w:sz="0" w:space="0" w:color="auto"/>
        <w:bottom w:val="none" w:sz="0" w:space="0" w:color="auto"/>
        <w:right w:val="none" w:sz="0" w:space="0" w:color="auto"/>
      </w:divBdr>
    </w:div>
    <w:div w:id="487090528">
      <w:bodyDiv w:val="1"/>
      <w:marLeft w:val="0"/>
      <w:marRight w:val="0"/>
      <w:marTop w:val="0"/>
      <w:marBottom w:val="0"/>
      <w:divBdr>
        <w:top w:val="none" w:sz="0" w:space="0" w:color="auto"/>
        <w:left w:val="none" w:sz="0" w:space="0" w:color="auto"/>
        <w:bottom w:val="none" w:sz="0" w:space="0" w:color="auto"/>
        <w:right w:val="none" w:sz="0" w:space="0" w:color="auto"/>
      </w:divBdr>
    </w:div>
    <w:div w:id="522666231">
      <w:bodyDiv w:val="1"/>
      <w:marLeft w:val="0"/>
      <w:marRight w:val="0"/>
      <w:marTop w:val="0"/>
      <w:marBottom w:val="0"/>
      <w:divBdr>
        <w:top w:val="none" w:sz="0" w:space="0" w:color="auto"/>
        <w:left w:val="none" w:sz="0" w:space="0" w:color="auto"/>
        <w:bottom w:val="none" w:sz="0" w:space="0" w:color="auto"/>
        <w:right w:val="none" w:sz="0" w:space="0" w:color="auto"/>
      </w:divBdr>
    </w:div>
    <w:div w:id="528107116">
      <w:bodyDiv w:val="1"/>
      <w:marLeft w:val="0"/>
      <w:marRight w:val="0"/>
      <w:marTop w:val="0"/>
      <w:marBottom w:val="0"/>
      <w:divBdr>
        <w:top w:val="none" w:sz="0" w:space="0" w:color="auto"/>
        <w:left w:val="none" w:sz="0" w:space="0" w:color="auto"/>
        <w:bottom w:val="none" w:sz="0" w:space="0" w:color="auto"/>
        <w:right w:val="none" w:sz="0" w:space="0" w:color="auto"/>
      </w:divBdr>
    </w:div>
    <w:div w:id="538980639">
      <w:bodyDiv w:val="1"/>
      <w:marLeft w:val="0"/>
      <w:marRight w:val="0"/>
      <w:marTop w:val="0"/>
      <w:marBottom w:val="0"/>
      <w:divBdr>
        <w:top w:val="none" w:sz="0" w:space="0" w:color="auto"/>
        <w:left w:val="none" w:sz="0" w:space="0" w:color="auto"/>
        <w:bottom w:val="none" w:sz="0" w:space="0" w:color="auto"/>
        <w:right w:val="none" w:sz="0" w:space="0" w:color="auto"/>
      </w:divBdr>
      <w:divsChild>
        <w:div w:id="565149038">
          <w:marLeft w:val="0"/>
          <w:marRight w:val="0"/>
          <w:marTop w:val="0"/>
          <w:marBottom w:val="0"/>
          <w:divBdr>
            <w:top w:val="none" w:sz="0" w:space="0" w:color="auto"/>
            <w:left w:val="none" w:sz="0" w:space="0" w:color="auto"/>
            <w:bottom w:val="none" w:sz="0" w:space="0" w:color="auto"/>
            <w:right w:val="none" w:sz="0" w:space="0" w:color="auto"/>
          </w:divBdr>
        </w:div>
      </w:divsChild>
    </w:div>
    <w:div w:id="644239737">
      <w:bodyDiv w:val="1"/>
      <w:marLeft w:val="0"/>
      <w:marRight w:val="0"/>
      <w:marTop w:val="0"/>
      <w:marBottom w:val="0"/>
      <w:divBdr>
        <w:top w:val="none" w:sz="0" w:space="0" w:color="auto"/>
        <w:left w:val="none" w:sz="0" w:space="0" w:color="auto"/>
        <w:bottom w:val="none" w:sz="0" w:space="0" w:color="auto"/>
        <w:right w:val="none" w:sz="0" w:space="0" w:color="auto"/>
      </w:divBdr>
    </w:div>
    <w:div w:id="646130034">
      <w:bodyDiv w:val="1"/>
      <w:marLeft w:val="0"/>
      <w:marRight w:val="0"/>
      <w:marTop w:val="0"/>
      <w:marBottom w:val="0"/>
      <w:divBdr>
        <w:top w:val="none" w:sz="0" w:space="0" w:color="auto"/>
        <w:left w:val="none" w:sz="0" w:space="0" w:color="auto"/>
        <w:bottom w:val="none" w:sz="0" w:space="0" w:color="auto"/>
        <w:right w:val="none" w:sz="0" w:space="0" w:color="auto"/>
      </w:divBdr>
    </w:div>
    <w:div w:id="664627013">
      <w:bodyDiv w:val="1"/>
      <w:marLeft w:val="0"/>
      <w:marRight w:val="0"/>
      <w:marTop w:val="0"/>
      <w:marBottom w:val="0"/>
      <w:divBdr>
        <w:top w:val="none" w:sz="0" w:space="0" w:color="auto"/>
        <w:left w:val="none" w:sz="0" w:space="0" w:color="auto"/>
        <w:bottom w:val="none" w:sz="0" w:space="0" w:color="auto"/>
        <w:right w:val="none" w:sz="0" w:space="0" w:color="auto"/>
      </w:divBdr>
    </w:div>
    <w:div w:id="737092549">
      <w:bodyDiv w:val="1"/>
      <w:marLeft w:val="0"/>
      <w:marRight w:val="0"/>
      <w:marTop w:val="0"/>
      <w:marBottom w:val="0"/>
      <w:divBdr>
        <w:top w:val="none" w:sz="0" w:space="0" w:color="auto"/>
        <w:left w:val="none" w:sz="0" w:space="0" w:color="auto"/>
        <w:bottom w:val="none" w:sz="0" w:space="0" w:color="auto"/>
        <w:right w:val="none" w:sz="0" w:space="0" w:color="auto"/>
      </w:divBdr>
    </w:div>
    <w:div w:id="737872452">
      <w:bodyDiv w:val="1"/>
      <w:marLeft w:val="0"/>
      <w:marRight w:val="0"/>
      <w:marTop w:val="0"/>
      <w:marBottom w:val="0"/>
      <w:divBdr>
        <w:top w:val="none" w:sz="0" w:space="0" w:color="auto"/>
        <w:left w:val="none" w:sz="0" w:space="0" w:color="auto"/>
        <w:bottom w:val="none" w:sz="0" w:space="0" w:color="auto"/>
        <w:right w:val="none" w:sz="0" w:space="0" w:color="auto"/>
      </w:divBdr>
    </w:div>
    <w:div w:id="781219753">
      <w:bodyDiv w:val="1"/>
      <w:marLeft w:val="0"/>
      <w:marRight w:val="0"/>
      <w:marTop w:val="0"/>
      <w:marBottom w:val="0"/>
      <w:divBdr>
        <w:top w:val="none" w:sz="0" w:space="0" w:color="auto"/>
        <w:left w:val="none" w:sz="0" w:space="0" w:color="auto"/>
        <w:bottom w:val="none" w:sz="0" w:space="0" w:color="auto"/>
        <w:right w:val="none" w:sz="0" w:space="0" w:color="auto"/>
      </w:divBdr>
    </w:div>
    <w:div w:id="801919703">
      <w:bodyDiv w:val="1"/>
      <w:marLeft w:val="0"/>
      <w:marRight w:val="0"/>
      <w:marTop w:val="0"/>
      <w:marBottom w:val="0"/>
      <w:divBdr>
        <w:top w:val="none" w:sz="0" w:space="0" w:color="auto"/>
        <w:left w:val="none" w:sz="0" w:space="0" w:color="auto"/>
        <w:bottom w:val="none" w:sz="0" w:space="0" w:color="auto"/>
        <w:right w:val="none" w:sz="0" w:space="0" w:color="auto"/>
      </w:divBdr>
    </w:div>
    <w:div w:id="804472204">
      <w:bodyDiv w:val="1"/>
      <w:marLeft w:val="0"/>
      <w:marRight w:val="0"/>
      <w:marTop w:val="0"/>
      <w:marBottom w:val="0"/>
      <w:divBdr>
        <w:top w:val="none" w:sz="0" w:space="0" w:color="auto"/>
        <w:left w:val="none" w:sz="0" w:space="0" w:color="auto"/>
        <w:bottom w:val="none" w:sz="0" w:space="0" w:color="auto"/>
        <w:right w:val="none" w:sz="0" w:space="0" w:color="auto"/>
      </w:divBdr>
      <w:divsChild>
        <w:div w:id="1945529970">
          <w:marLeft w:val="0"/>
          <w:marRight w:val="0"/>
          <w:marTop w:val="0"/>
          <w:marBottom w:val="0"/>
          <w:divBdr>
            <w:top w:val="none" w:sz="0" w:space="0" w:color="auto"/>
            <w:left w:val="none" w:sz="0" w:space="0" w:color="auto"/>
            <w:bottom w:val="none" w:sz="0" w:space="0" w:color="auto"/>
            <w:right w:val="none" w:sz="0" w:space="0" w:color="auto"/>
          </w:divBdr>
        </w:div>
      </w:divsChild>
    </w:div>
    <w:div w:id="810055004">
      <w:bodyDiv w:val="1"/>
      <w:marLeft w:val="0"/>
      <w:marRight w:val="0"/>
      <w:marTop w:val="0"/>
      <w:marBottom w:val="0"/>
      <w:divBdr>
        <w:top w:val="none" w:sz="0" w:space="0" w:color="auto"/>
        <w:left w:val="none" w:sz="0" w:space="0" w:color="auto"/>
        <w:bottom w:val="none" w:sz="0" w:space="0" w:color="auto"/>
        <w:right w:val="none" w:sz="0" w:space="0" w:color="auto"/>
      </w:divBdr>
    </w:div>
    <w:div w:id="834030823">
      <w:bodyDiv w:val="1"/>
      <w:marLeft w:val="0"/>
      <w:marRight w:val="0"/>
      <w:marTop w:val="0"/>
      <w:marBottom w:val="0"/>
      <w:divBdr>
        <w:top w:val="none" w:sz="0" w:space="0" w:color="auto"/>
        <w:left w:val="none" w:sz="0" w:space="0" w:color="auto"/>
        <w:bottom w:val="none" w:sz="0" w:space="0" w:color="auto"/>
        <w:right w:val="none" w:sz="0" w:space="0" w:color="auto"/>
      </w:divBdr>
    </w:div>
    <w:div w:id="863439051">
      <w:bodyDiv w:val="1"/>
      <w:marLeft w:val="0"/>
      <w:marRight w:val="0"/>
      <w:marTop w:val="0"/>
      <w:marBottom w:val="0"/>
      <w:divBdr>
        <w:top w:val="none" w:sz="0" w:space="0" w:color="auto"/>
        <w:left w:val="none" w:sz="0" w:space="0" w:color="auto"/>
        <w:bottom w:val="none" w:sz="0" w:space="0" w:color="auto"/>
        <w:right w:val="none" w:sz="0" w:space="0" w:color="auto"/>
      </w:divBdr>
    </w:div>
    <w:div w:id="866139381">
      <w:bodyDiv w:val="1"/>
      <w:marLeft w:val="0"/>
      <w:marRight w:val="0"/>
      <w:marTop w:val="0"/>
      <w:marBottom w:val="0"/>
      <w:divBdr>
        <w:top w:val="none" w:sz="0" w:space="0" w:color="auto"/>
        <w:left w:val="none" w:sz="0" w:space="0" w:color="auto"/>
        <w:bottom w:val="none" w:sz="0" w:space="0" w:color="auto"/>
        <w:right w:val="none" w:sz="0" w:space="0" w:color="auto"/>
      </w:divBdr>
    </w:div>
    <w:div w:id="879325151">
      <w:bodyDiv w:val="1"/>
      <w:marLeft w:val="0"/>
      <w:marRight w:val="0"/>
      <w:marTop w:val="0"/>
      <w:marBottom w:val="0"/>
      <w:divBdr>
        <w:top w:val="none" w:sz="0" w:space="0" w:color="auto"/>
        <w:left w:val="none" w:sz="0" w:space="0" w:color="auto"/>
        <w:bottom w:val="none" w:sz="0" w:space="0" w:color="auto"/>
        <w:right w:val="none" w:sz="0" w:space="0" w:color="auto"/>
      </w:divBdr>
    </w:div>
    <w:div w:id="918178085">
      <w:bodyDiv w:val="1"/>
      <w:marLeft w:val="0"/>
      <w:marRight w:val="0"/>
      <w:marTop w:val="0"/>
      <w:marBottom w:val="0"/>
      <w:divBdr>
        <w:top w:val="none" w:sz="0" w:space="0" w:color="auto"/>
        <w:left w:val="none" w:sz="0" w:space="0" w:color="auto"/>
        <w:bottom w:val="none" w:sz="0" w:space="0" w:color="auto"/>
        <w:right w:val="none" w:sz="0" w:space="0" w:color="auto"/>
      </w:divBdr>
    </w:div>
    <w:div w:id="932785492">
      <w:bodyDiv w:val="1"/>
      <w:marLeft w:val="0"/>
      <w:marRight w:val="0"/>
      <w:marTop w:val="0"/>
      <w:marBottom w:val="0"/>
      <w:divBdr>
        <w:top w:val="none" w:sz="0" w:space="0" w:color="auto"/>
        <w:left w:val="none" w:sz="0" w:space="0" w:color="auto"/>
        <w:bottom w:val="none" w:sz="0" w:space="0" w:color="auto"/>
        <w:right w:val="none" w:sz="0" w:space="0" w:color="auto"/>
      </w:divBdr>
    </w:div>
    <w:div w:id="959603721">
      <w:bodyDiv w:val="1"/>
      <w:marLeft w:val="0"/>
      <w:marRight w:val="0"/>
      <w:marTop w:val="0"/>
      <w:marBottom w:val="0"/>
      <w:divBdr>
        <w:top w:val="none" w:sz="0" w:space="0" w:color="auto"/>
        <w:left w:val="none" w:sz="0" w:space="0" w:color="auto"/>
        <w:bottom w:val="none" w:sz="0" w:space="0" w:color="auto"/>
        <w:right w:val="none" w:sz="0" w:space="0" w:color="auto"/>
      </w:divBdr>
    </w:div>
    <w:div w:id="963005784">
      <w:bodyDiv w:val="1"/>
      <w:marLeft w:val="0"/>
      <w:marRight w:val="0"/>
      <w:marTop w:val="0"/>
      <w:marBottom w:val="0"/>
      <w:divBdr>
        <w:top w:val="none" w:sz="0" w:space="0" w:color="auto"/>
        <w:left w:val="none" w:sz="0" w:space="0" w:color="auto"/>
        <w:bottom w:val="none" w:sz="0" w:space="0" w:color="auto"/>
        <w:right w:val="none" w:sz="0" w:space="0" w:color="auto"/>
      </w:divBdr>
    </w:div>
    <w:div w:id="964583991">
      <w:bodyDiv w:val="1"/>
      <w:marLeft w:val="0"/>
      <w:marRight w:val="0"/>
      <w:marTop w:val="0"/>
      <w:marBottom w:val="0"/>
      <w:divBdr>
        <w:top w:val="none" w:sz="0" w:space="0" w:color="auto"/>
        <w:left w:val="none" w:sz="0" w:space="0" w:color="auto"/>
        <w:bottom w:val="none" w:sz="0" w:space="0" w:color="auto"/>
        <w:right w:val="none" w:sz="0" w:space="0" w:color="auto"/>
      </w:divBdr>
    </w:div>
    <w:div w:id="984625056">
      <w:bodyDiv w:val="1"/>
      <w:marLeft w:val="0"/>
      <w:marRight w:val="0"/>
      <w:marTop w:val="0"/>
      <w:marBottom w:val="0"/>
      <w:divBdr>
        <w:top w:val="none" w:sz="0" w:space="0" w:color="auto"/>
        <w:left w:val="none" w:sz="0" w:space="0" w:color="auto"/>
        <w:bottom w:val="none" w:sz="0" w:space="0" w:color="auto"/>
        <w:right w:val="none" w:sz="0" w:space="0" w:color="auto"/>
      </w:divBdr>
    </w:div>
    <w:div w:id="1012486655">
      <w:bodyDiv w:val="1"/>
      <w:marLeft w:val="0"/>
      <w:marRight w:val="0"/>
      <w:marTop w:val="0"/>
      <w:marBottom w:val="0"/>
      <w:divBdr>
        <w:top w:val="none" w:sz="0" w:space="0" w:color="auto"/>
        <w:left w:val="none" w:sz="0" w:space="0" w:color="auto"/>
        <w:bottom w:val="none" w:sz="0" w:space="0" w:color="auto"/>
        <w:right w:val="none" w:sz="0" w:space="0" w:color="auto"/>
      </w:divBdr>
    </w:div>
    <w:div w:id="1014186482">
      <w:bodyDiv w:val="1"/>
      <w:marLeft w:val="0"/>
      <w:marRight w:val="0"/>
      <w:marTop w:val="0"/>
      <w:marBottom w:val="0"/>
      <w:divBdr>
        <w:top w:val="none" w:sz="0" w:space="0" w:color="auto"/>
        <w:left w:val="none" w:sz="0" w:space="0" w:color="auto"/>
        <w:bottom w:val="none" w:sz="0" w:space="0" w:color="auto"/>
        <w:right w:val="none" w:sz="0" w:space="0" w:color="auto"/>
      </w:divBdr>
    </w:div>
    <w:div w:id="1061171556">
      <w:bodyDiv w:val="1"/>
      <w:marLeft w:val="0"/>
      <w:marRight w:val="0"/>
      <w:marTop w:val="0"/>
      <w:marBottom w:val="0"/>
      <w:divBdr>
        <w:top w:val="none" w:sz="0" w:space="0" w:color="auto"/>
        <w:left w:val="none" w:sz="0" w:space="0" w:color="auto"/>
        <w:bottom w:val="none" w:sz="0" w:space="0" w:color="auto"/>
        <w:right w:val="none" w:sz="0" w:space="0" w:color="auto"/>
      </w:divBdr>
    </w:div>
    <w:div w:id="1076783799">
      <w:bodyDiv w:val="1"/>
      <w:marLeft w:val="0"/>
      <w:marRight w:val="0"/>
      <w:marTop w:val="0"/>
      <w:marBottom w:val="0"/>
      <w:divBdr>
        <w:top w:val="none" w:sz="0" w:space="0" w:color="auto"/>
        <w:left w:val="none" w:sz="0" w:space="0" w:color="auto"/>
        <w:bottom w:val="none" w:sz="0" w:space="0" w:color="auto"/>
        <w:right w:val="none" w:sz="0" w:space="0" w:color="auto"/>
      </w:divBdr>
    </w:div>
    <w:div w:id="1080100285">
      <w:bodyDiv w:val="1"/>
      <w:marLeft w:val="0"/>
      <w:marRight w:val="0"/>
      <w:marTop w:val="0"/>
      <w:marBottom w:val="0"/>
      <w:divBdr>
        <w:top w:val="none" w:sz="0" w:space="0" w:color="auto"/>
        <w:left w:val="none" w:sz="0" w:space="0" w:color="auto"/>
        <w:bottom w:val="none" w:sz="0" w:space="0" w:color="auto"/>
        <w:right w:val="none" w:sz="0" w:space="0" w:color="auto"/>
      </w:divBdr>
    </w:div>
    <w:div w:id="1099910949">
      <w:bodyDiv w:val="1"/>
      <w:marLeft w:val="0"/>
      <w:marRight w:val="0"/>
      <w:marTop w:val="0"/>
      <w:marBottom w:val="0"/>
      <w:divBdr>
        <w:top w:val="none" w:sz="0" w:space="0" w:color="auto"/>
        <w:left w:val="none" w:sz="0" w:space="0" w:color="auto"/>
        <w:bottom w:val="none" w:sz="0" w:space="0" w:color="auto"/>
        <w:right w:val="none" w:sz="0" w:space="0" w:color="auto"/>
      </w:divBdr>
      <w:divsChild>
        <w:div w:id="509950348">
          <w:marLeft w:val="0"/>
          <w:marRight w:val="0"/>
          <w:marTop w:val="0"/>
          <w:marBottom w:val="0"/>
          <w:divBdr>
            <w:top w:val="none" w:sz="0" w:space="0" w:color="auto"/>
            <w:left w:val="none" w:sz="0" w:space="0" w:color="auto"/>
            <w:bottom w:val="none" w:sz="0" w:space="0" w:color="auto"/>
            <w:right w:val="none" w:sz="0" w:space="0" w:color="auto"/>
          </w:divBdr>
        </w:div>
      </w:divsChild>
    </w:div>
    <w:div w:id="1105072545">
      <w:bodyDiv w:val="1"/>
      <w:marLeft w:val="0"/>
      <w:marRight w:val="0"/>
      <w:marTop w:val="0"/>
      <w:marBottom w:val="0"/>
      <w:divBdr>
        <w:top w:val="none" w:sz="0" w:space="0" w:color="auto"/>
        <w:left w:val="none" w:sz="0" w:space="0" w:color="auto"/>
        <w:bottom w:val="none" w:sz="0" w:space="0" w:color="auto"/>
        <w:right w:val="none" w:sz="0" w:space="0" w:color="auto"/>
      </w:divBdr>
      <w:divsChild>
        <w:div w:id="900751639">
          <w:marLeft w:val="0"/>
          <w:marRight w:val="0"/>
          <w:marTop w:val="0"/>
          <w:marBottom w:val="0"/>
          <w:divBdr>
            <w:top w:val="none" w:sz="0" w:space="0" w:color="auto"/>
            <w:left w:val="none" w:sz="0" w:space="0" w:color="auto"/>
            <w:bottom w:val="none" w:sz="0" w:space="0" w:color="auto"/>
            <w:right w:val="none" w:sz="0" w:space="0" w:color="auto"/>
          </w:divBdr>
        </w:div>
      </w:divsChild>
    </w:div>
    <w:div w:id="1128359074">
      <w:bodyDiv w:val="1"/>
      <w:marLeft w:val="0"/>
      <w:marRight w:val="0"/>
      <w:marTop w:val="0"/>
      <w:marBottom w:val="0"/>
      <w:divBdr>
        <w:top w:val="none" w:sz="0" w:space="0" w:color="auto"/>
        <w:left w:val="none" w:sz="0" w:space="0" w:color="auto"/>
        <w:bottom w:val="none" w:sz="0" w:space="0" w:color="auto"/>
        <w:right w:val="none" w:sz="0" w:space="0" w:color="auto"/>
      </w:divBdr>
    </w:div>
    <w:div w:id="1129280263">
      <w:bodyDiv w:val="1"/>
      <w:marLeft w:val="0"/>
      <w:marRight w:val="0"/>
      <w:marTop w:val="0"/>
      <w:marBottom w:val="0"/>
      <w:divBdr>
        <w:top w:val="none" w:sz="0" w:space="0" w:color="auto"/>
        <w:left w:val="none" w:sz="0" w:space="0" w:color="auto"/>
        <w:bottom w:val="none" w:sz="0" w:space="0" w:color="auto"/>
        <w:right w:val="none" w:sz="0" w:space="0" w:color="auto"/>
      </w:divBdr>
      <w:divsChild>
        <w:div w:id="765734241">
          <w:marLeft w:val="0"/>
          <w:marRight w:val="0"/>
          <w:marTop w:val="0"/>
          <w:marBottom w:val="0"/>
          <w:divBdr>
            <w:top w:val="none" w:sz="0" w:space="0" w:color="auto"/>
            <w:left w:val="none" w:sz="0" w:space="0" w:color="auto"/>
            <w:bottom w:val="none" w:sz="0" w:space="0" w:color="auto"/>
            <w:right w:val="none" w:sz="0" w:space="0" w:color="auto"/>
          </w:divBdr>
        </w:div>
      </w:divsChild>
    </w:div>
    <w:div w:id="1146435034">
      <w:bodyDiv w:val="1"/>
      <w:marLeft w:val="0"/>
      <w:marRight w:val="0"/>
      <w:marTop w:val="0"/>
      <w:marBottom w:val="0"/>
      <w:divBdr>
        <w:top w:val="none" w:sz="0" w:space="0" w:color="auto"/>
        <w:left w:val="none" w:sz="0" w:space="0" w:color="auto"/>
        <w:bottom w:val="none" w:sz="0" w:space="0" w:color="auto"/>
        <w:right w:val="none" w:sz="0" w:space="0" w:color="auto"/>
      </w:divBdr>
      <w:divsChild>
        <w:div w:id="465271068">
          <w:marLeft w:val="0"/>
          <w:marRight w:val="0"/>
          <w:marTop w:val="0"/>
          <w:marBottom w:val="0"/>
          <w:divBdr>
            <w:top w:val="none" w:sz="0" w:space="0" w:color="auto"/>
            <w:left w:val="none" w:sz="0" w:space="0" w:color="auto"/>
            <w:bottom w:val="none" w:sz="0" w:space="0" w:color="auto"/>
            <w:right w:val="none" w:sz="0" w:space="0" w:color="auto"/>
          </w:divBdr>
        </w:div>
      </w:divsChild>
    </w:div>
    <w:div w:id="1208838515">
      <w:bodyDiv w:val="1"/>
      <w:marLeft w:val="0"/>
      <w:marRight w:val="0"/>
      <w:marTop w:val="0"/>
      <w:marBottom w:val="0"/>
      <w:divBdr>
        <w:top w:val="none" w:sz="0" w:space="0" w:color="auto"/>
        <w:left w:val="none" w:sz="0" w:space="0" w:color="auto"/>
        <w:bottom w:val="none" w:sz="0" w:space="0" w:color="auto"/>
        <w:right w:val="none" w:sz="0" w:space="0" w:color="auto"/>
      </w:divBdr>
    </w:div>
    <w:div w:id="1224826755">
      <w:bodyDiv w:val="1"/>
      <w:marLeft w:val="0"/>
      <w:marRight w:val="0"/>
      <w:marTop w:val="0"/>
      <w:marBottom w:val="0"/>
      <w:divBdr>
        <w:top w:val="none" w:sz="0" w:space="0" w:color="auto"/>
        <w:left w:val="none" w:sz="0" w:space="0" w:color="auto"/>
        <w:bottom w:val="none" w:sz="0" w:space="0" w:color="auto"/>
        <w:right w:val="none" w:sz="0" w:space="0" w:color="auto"/>
      </w:divBdr>
    </w:div>
    <w:div w:id="1246720120">
      <w:bodyDiv w:val="1"/>
      <w:marLeft w:val="0"/>
      <w:marRight w:val="0"/>
      <w:marTop w:val="0"/>
      <w:marBottom w:val="0"/>
      <w:divBdr>
        <w:top w:val="none" w:sz="0" w:space="0" w:color="auto"/>
        <w:left w:val="none" w:sz="0" w:space="0" w:color="auto"/>
        <w:bottom w:val="none" w:sz="0" w:space="0" w:color="auto"/>
        <w:right w:val="none" w:sz="0" w:space="0" w:color="auto"/>
      </w:divBdr>
    </w:div>
    <w:div w:id="1251429499">
      <w:bodyDiv w:val="1"/>
      <w:marLeft w:val="0"/>
      <w:marRight w:val="0"/>
      <w:marTop w:val="0"/>
      <w:marBottom w:val="0"/>
      <w:divBdr>
        <w:top w:val="none" w:sz="0" w:space="0" w:color="auto"/>
        <w:left w:val="none" w:sz="0" w:space="0" w:color="auto"/>
        <w:bottom w:val="none" w:sz="0" w:space="0" w:color="auto"/>
        <w:right w:val="none" w:sz="0" w:space="0" w:color="auto"/>
      </w:divBdr>
      <w:divsChild>
        <w:div w:id="407307670">
          <w:marLeft w:val="0"/>
          <w:marRight w:val="0"/>
          <w:marTop w:val="0"/>
          <w:marBottom w:val="0"/>
          <w:divBdr>
            <w:top w:val="none" w:sz="0" w:space="0" w:color="auto"/>
            <w:left w:val="none" w:sz="0" w:space="0" w:color="auto"/>
            <w:bottom w:val="none" w:sz="0" w:space="0" w:color="auto"/>
            <w:right w:val="none" w:sz="0" w:space="0" w:color="auto"/>
          </w:divBdr>
        </w:div>
      </w:divsChild>
    </w:div>
    <w:div w:id="1258247374">
      <w:bodyDiv w:val="1"/>
      <w:marLeft w:val="0"/>
      <w:marRight w:val="0"/>
      <w:marTop w:val="0"/>
      <w:marBottom w:val="0"/>
      <w:divBdr>
        <w:top w:val="none" w:sz="0" w:space="0" w:color="auto"/>
        <w:left w:val="none" w:sz="0" w:space="0" w:color="auto"/>
        <w:bottom w:val="none" w:sz="0" w:space="0" w:color="auto"/>
        <w:right w:val="none" w:sz="0" w:space="0" w:color="auto"/>
      </w:divBdr>
      <w:divsChild>
        <w:div w:id="355622857">
          <w:marLeft w:val="0"/>
          <w:marRight w:val="0"/>
          <w:marTop w:val="0"/>
          <w:marBottom w:val="0"/>
          <w:divBdr>
            <w:top w:val="none" w:sz="0" w:space="0" w:color="auto"/>
            <w:left w:val="none" w:sz="0" w:space="0" w:color="auto"/>
            <w:bottom w:val="none" w:sz="0" w:space="0" w:color="auto"/>
            <w:right w:val="none" w:sz="0" w:space="0" w:color="auto"/>
          </w:divBdr>
        </w:div>
      </w:divsChild>
    </w:div>
    <w:div w:id="1261453563">
      <w:bodyDiv w:val="1"/>
      <w:marLeft w:val="0"/>
      <w:marRight w:val="0"/>
      <w:marTop w:val="0"/>
      <w:marBottom w:val="0"/>
      <w:divBdr>
        <w:top w:val="none" w:sz="0" w:space="0" w:color="auto"/>
        <w:left w:val="none" w:sz="0" w:space="0" w:color="auto"/>
        <w:bottom w:val="none" w:sz="0" w:space="0" w:color="auto"/>
        <w:right w:val="none" w:sz="0" w:space="0" w:color="auto"/>
      </w:divBdr>
    </w:div>
    <w:div w:id="1265384199">
      <w:bodyDiv w:val="1"/>
      <w:marLeft w:val="0"/>
      <w:marRight w:val="0"/>
      <w:marTop w:val="0"/>
      <w:marBottom w:val="0"/>
      <w:divBdr>
        <w:top w:val="none" w:sz="0" w:space="0" w:color="auto"/>
        <w:left w:val="none" w:sz="0" w:space="0" w:color="auto"/>
        <w:bottom w:val="none" w:sz="0" w:space="0" w:color="auto"/>
        <w:right w:val="none" w:sz="0" w:space="0" w:color="auto"/>
      </w:divBdr>
      <w:divsChild>
        <w:div w:id="545409581">
          <w:marLeft w:val="0"/>
          <w:marRight w:val="0"/>
          <w:marTop w:val="0"/>
          <w:marBottom w:val="0"/>
          <w:divBdr>
            <w:top w:val="none" w:sz="0" w:space="0" w:color="auto"/>
            <w:left w:val="none" w:sz="0" w:space="0" w:color="auto"/>
            <w:bottom w:val="none" w:sz="0" w:space="0" w:color="auto"/>
            <w:right w:val="none" w:sz="0" w:space="0" w:color="auto"/>
          </w:divBdr>
        </w:div>
      </w:divsChild>
    </w:div>
    <w:div w:id="1279753235">
      <w:bodyDiv w:val="1"/>
      <w:marLeft w:val="0"/>
      <w:marRight w:val="0"/>
      <w:marTop w:val="0"/>
      <w:marBottom w:val="0"/>
      <w:divBdr>
        <w:top w:val="none" w:sz="0" w:space="0" w:color="auto"/>
        <w:left w:val="none" w:sz="0" w:space="0" w:color="auto"/>
        <w:bottom w:val="none" w:sz="0" w:space="0" w:color="auto"/>
        <w:right w:val="none" w:sz="0" w:space="0" w:color="auto"/>
      </w:divBdr>
    </w:div>
    <w:div w:id="1289895464">
      <w:bodyDiv w:val="1"/>
      <w:marLeft w:val="0"/>
      <w:marRight w:val="0"/>
      <w:marTop w:val="0"/>
      <w:marBottom w:val="0"/>
      <w:divBdr>
        <w:top w:val="none" w:sz="0" w:space="0" w:color="auto"/>
        <w:left w:val="none" w:sz="0" w:space="0" w:color="auto"/>
        <w:bottom w:val="none" w:sz="0" w:space="0" w:color="auto"/>
        <w:right w:val="none" w:sz="0" w:space="0" w:color="auto"/>
      </w:divBdr>
    </w:div>
    <w:div w:id="1291083825">
      <w:bodyDiv w:val="1"/>
      <w:marLeft w:val="0"/>
      <w:marRight w:val="0"/>
      <w:marTop w:val="0"/>
      <w:marBottom w:val="0"/>
      <w:divBdr>
        <w:top w:val="none" w:sz="0" w:space="0" w:color="auto"/>
        <w:left w:val="none" w:sz="0" w:space="0" w:color="auto"/>
        <w:bottom w:val="none" w:sz="0" w:space="0" w:color="auto"/>
        <w:right w:val="none" w:sz="0" w:space="0" w:color="auto"/>
      </w:divBdr>
    </w:div>
    <w:div w:id="1322076138">
      <w:bodyDiv w:val="1"/>
      <w:marLeft w:val="0"/>
      <w:marRight w:val="0"/>
      <w:marTop w:val="0"/>
      <w:marBottom w:val="0"/>
      <w:divBdr>
        <w:top w:val="none" w:sz="0" w:space="0" w:color="auto"/>
        <w:left w:val="none" w:sz="0" w:space="0" w:color="auto"/>
        <w:bottom w:val="none" w:sz="0" w:space="0" w:color="auto"/>
        <w:right w:val="none" w:sz="0" w:space="0" w:color="auto"/>
      </w:divBdr>
    </w:div>
    <w:div w:id="1328243371">
      <w:bodyDiv w:val="1"/>
      <w:marLeft w:val="0"/>
      <w:marRight w:val="0"/>
      <w:marTop w:val="0"/>
      <w:marBottom w:val="0"/>
      <w:divBdr>
        <w:top w:val="none" w:sz="0" w:space="0" w:color="auto"/>
        <w:left w:val="none" w:sz="0" w:space="0" w:color="auto"/>
        <w:bottom w:val="none" w:sz="0" w:space="0" w:color="auto"/>
        <w:right w:val="none" w:sz="0" w:space="0" w:color="auto"/>
      </w:divBdr>
    </w:div>
    <w:div w:id="1399865148">
      <w:bodyDiv w:val="1"/>
      <w:marLeft w:val="0"/>
      <w:marRight w:val="0"/>
      <w:marTop w:val="0"/>
      <w:marBottom w:val="0"/>
      <w:divBdr>
        <w:top w:val="none" w:sz="0" w:space="0" w:color="auto"/>
        <w:left w:val="none" w:sz="0" w:space="0" w:color="auto"/>
        <w:bottom w:val="none" w:sz="0" w:space="0" w:color="auto"/>
        <w:right w:val="none" w:sz="0" w:space="0" w:color="auto"/>
      </w:divBdr>
      <w:divsChild>
        <w:div w:id="1130829477">
          <w:marLeft w:val="0"/>
          <w:marRight w:val="0"/>
          <w:marTop w:val="0"/>
          <w:marBottom w:val="0"/>
          <w:divBdr>
            <w:top w:val="none" w:sz="0" w:space="0" w:color="auto"/>
            <w:left w:val="none" w:sz="0" w:space="0" w:color="auto"/>
            <w:bottom w:val="none" w:sz="0" w:space="0" w:color="auto"/>
            <w:right w:val="none" w:sz="0" w:space="0" w:color="auto"/>
          </w:divBdr>
        </w:div>
      </w:divsChild>
    </w:div>
    <w:div w:id="1438986679">
      <w:bodyDiv w:val="1"/>
      <w:marLeft w:val="0"/>
      <w:marRight w:val="0"/>
      <w:marTop w:val="0"/>
      <w:marBottom w:val="0"/>
      <w:divBdr>
        <w:top w:val="none" w:sz="0" w:space="0" w:color="auto"/>
        <w:left w:val="none" w:sz="0" w:space="0" w:color="auto"/>
        <w:bottom w:val="none" w:sz="0" w:space="0" w:color="auto"/>
        <w:right w:val="none" w:sz="0" w:space="0" w:color="auto"/>
      </w:divBdr>
      <w:divsChild>
        <w:div w:id="877741553">
          <w:marLeft w:val="0"/>
          <w:marRight w:val="0"/>
          <w:marTop w:val="0"/>
          <w:marBottom w:val="0"/>
          <w:divBdr>
            <w:top w:val="none" w:sz="0" w:space="0" w:color="auto"/>
            <w:left w:val="none" w:sz="0" w:space="0" w:color="auto"/>
            <w:bottom w:val="none" w:sz="0" w:space="0" w:color="auto"/>
            <w:right w:val="none" w:sz="0" w:space="0" w:color="auto"/>
          </w:divBdr>
        </w:div>
      </w:divsChild>
    </w:div>
    <w:div w:id="1474132884">
      <w:bodyDiv w:val="1"/>
      <w:marLeft w:val="0"/>
      <w:marRight w:val="0"/>
      <w:marTop w:val="0"/>
      <w:marBottom w:val="0"/>
      <w:divBdr>
        <w:top w:val="none" w:sz="0" w:space="0" w:color="auto"/>
        <w:left w:val="none" w:sz="0" w:space="0" w:color="auto"/>
        <w:bottom w:val="none" w:sz="0" w:space="0" w:color="auto"/>
        <w:right w:val="none" w:sz="0" w:space="0" w:color="auto"/>
      </w:divBdr>
    </w:div>
    <w:div w:id="1479689242">
      <w:bodyDiv w:val="1"/>
      <w:marLeft w:val="0"/>
      <w:marRight w:val="0"/>
      <w:marTop w:val="0"/>
      <w:marBottom w:val="0"/>
      <w:divBdr>
        <w:top w:val="none" w:sz="0" w:space="0" w:color="auto"/>
        <w:left w:val="none" w:sz="0" w:space="0" w:color="auto"/>
        <w:bottom w:val="none" w:sz="0" w:space="0" w:color="auto"/>
        <w:right w:val="none" w:sz="0" w:space="0" w:color="auto"/>
      </w:divBdr>
      <w:divsChild>
        <w:div w:id="1637252460">
          <w:marLeft w:val="0"/>
          <w:marRight w:val="0"/>
          <w:marTop w:val="0"/>
          <w:marBottom w:val="0"/>
          <w:divBdr>
            <w:top w:val="none" w:sz="0" w:space="0" w:color="auto"/>
            <w:left w:val="none" w:sz="0" w:space="0" w:color="auto"/>
            <w:bottom w:val="none" w:sz="0" w:space="0" w:color="auto"/>
            <w:right w:val="none" w:sz="0" w:space="0" w:color="auto"/>
          </w:divBdr>
        </w:div>
      </w:divsChild>
    </w:div>
    <w:div w:id="1505776750">
      <w:bodyDiv w:val="1"/>
      <w:marLeft w:val="0"/>
      <w:marRight w:val="0"/>
      <w:marTop w:val="0"/>
      <w:marBottom w:val="0"/>
      <w:divBdr>
        <w:top w:val="none" w:sz="0" w:space="0" w:color="auto"/>
        <w:left w:val="none" w:sz="0" w:space="0" w:color="auto"/>
        <w:bottom w:val="none" w:sz="0" w:space="0" w:color="auto"/>
        <w:right w:val="none" w:sz="0" w:space="0" w:color="auto"/>
      </w:divBdr>
    </w:div>
    <w:div w:id="1569801320">
      <w:bodyDiv w:val="1"/>
      <w:marLeft w:val="0"/>
      <w:marRight w:val="0"/>
      <w:marTop w:val="0"/>
      <w:marBottom w:val="0"/>
      <w:divBdr>
        <w:top w:val="none" w:sz="0" w:space="0" w:color="auto"/>
        <w:left w:val="none" w:sz="0" w:space="0" w:color="auto"/>
        <w:bottom w:val="none" w:sz="0" w:space="0" w:color="auto"/>
        <w:right w:val="none" w:sz="0" w:space="0" w:color="auto"/>
      </w:divBdr>
    </w:div>
    <w:div w:id="1628511181">
      <w:bodyDiv w:val="1"/>
      <w:marLeft w:val="0"/>
      <w:marRight w:val="0"/>
      <w:marTop w:val="0"/>
      <w:marBottom w:val="0"/>
      <w:divBdr>
        <w:top w:val="none" w:sz="0" w:space="0" w:color="auto"/>
        <w:left w:val="none" w:sz="0" w:space="0" w:color="auto"/>
        <w:bottom w:val="none" w:sz="0" w:space="0" w:color="auto"/>
        <w:right w:val="none" w:sz="0" w:space="0" w:color="auto"/>
      </w:divBdr>
    </w:div>
    <w:div w:id="1636060112">
      <w:bodyDiv w:val="1"/>
      <w:marLeft w:val="0"/>
      <w:marRight w:val="0"/>
      <w:marTop w:val="0"/>
      <w:marBottom w:val="0"/>
      <w:divBdr>
        <w:top w:val="none" w:sz="0" w:space="0" w:color="auto"/>
        <w:left w:val="none" w:sz="0" w:space="0" w:color="auto"/>
        <w:bottom w:val="none" w:sz="0" w:space="0" w:color="auto"/>
        <w:right w:val="none" w:sz="0" w:space="0" w:color="auto"/>
      </w:divBdr>
    </w:div>
    <w:div w:id="1672100077">
      <w:bodyDiv w:val="1"/>
      <w:marLeft w:val="0"/>
      <w:marRight w:val="0"/>
      <w:marTop w:val="0"/>
      <w:marBottom w:val="0"/>
      <w:divBdr>
        <w:top w:val="none" w:sz="0" w:space="0" w:color="auto"/>
        <w:left w:val="none" w:sz="0" w:space="0" w:color="auto"/>
        <w:bottom w:val="none" w:sz="0" w:space="0" w:color="auto"/>
        <w:right w:val="none" w:sz="0" w:space="0" w:color="auto"/>
      </w:divBdr>
    </w:div>
    <w:div w:id="1688949496">
      <w:bodyDiv w:val="1"/>
      <w:marLeft w:val="0"/>
      <w:marRight w:val="0"/>
      <w:marTop w:val="0"/>
      <w:marBottom w:val="0"/>
      <w:divBdr>
        <w:top w:val="none" w:sz="0" w:space="0" w:color="auto"/>
        <w:left w:val="none" w:sz="0" w:space="0" w:color="auto"/>
        <w:bottom w:val="none" w:sz="0" w:space="0" w:color="auto"/>
        <w:right w:val="none" w:sz="0" w:space="0" w:color="auto"/>
      </w:divBdr>
    </w:div>
    <w:div w:id="1693338312">
      <w:bodyDiv w:val="1"/>
      <w:marLeft w:val="0"/>
      <w:marRight w:val="0"/>
      <w:marTop w:val="0"/>
      <w:marBottom w:val="0"/>
      <w:divBdr>
        <w:top w:val="none" w:sz="0" w:space="0" w:color="auto"/>
        <w:left w:val="none" w:sz="0" w:space="0" w:color="auto"/>
        <w:bottom w:val="none" w:sz="0" w:space="0" w:color="auto"/>
        <w:right w:val="none" w:sz="0" w:space="0" w:color="auto"/>
      </w:divBdr>
      <w:divsChild>
        <w:div w:id="851183242">
          <w:marLeft w:val="0"/>
          <w:marRight w:val="0"/>
          <w:marTop w:val="0"/>
          <w:marBottom w:val="0"/>
          <w:divBdr>
            <w:top w:val="none" w:sz="0" w:space="0" w:color="auto"/>
            <w:left w:val="none" w:sz="0" w:space="0" w:color="auto"/>
            <w:bottom w:val="none" w:sz="0" w:space="0" w:color="auto"/>
            <w:right w:val="none" w:sz="0" w:space="0" w:color="auto"/>
          </w:divBdr>
        </w:div>
      </w:divsChild>
    </w:div>
    <w:div w:id="1705981079">
      <w:bodyDiv w:val="1"/>
      <w:marLeft w:val="0"/>
      <w:marRight w:val="0"/>
      <w:marTop w:val="0"/>
      <w:marBottom w:val="0"/>
      <w:divBdr>
        <w:top w:val="none" w:sz="0" w:space="0" w:color="auto"/>
        <w:left w:val="none" w:sz="0" w:space="0" w:color="auto"/>
        <w:bottom w:val="none" w:sz="0" w:space="0" w:color="auto"/>
        <w:right w:val="none" w:sz="0" w:space="0" w:color="auto"/>
      </w:divBdr>
    </w:div>
    <w:div w:id="1719938802">
      <w:bodyDiv w:val="1"/>
      <w:marLeft w:val="0"/>
      <w:marRight w:val="0"/>
      <w:marTop w:val="0"/>
      <w:marBottom w:val="0"/>
      <w:divBdr>
        <w:top w:val="none" w:sz="0" w:space="0" w:color="auto"/>
        <w:left w:val="none" w:sz="0" w:space="0" w:color="auto"/>
        <w:bottom w:val="none" w:sz="0" w:space="0" w:color="auto"/>
        <w:right w:val="none" w:sz="0" w:space="0" w:color="auto"/>
      </w:divBdr>
      <w:divsChild>
        <w:div w:id="720522505">
          <w:marLeft w:val="0"/>
          <w:marRight w:val="0"/>
          <w:marTop w:val="0"/>
          <w:marBottom w:val="0"/>
          <w:divBdr>
            <w:top w:val="none" w:sz="0" w:space="0" w:color="auto"/>
            <w:left w:val="none" w:sz="0" w:space="0" w:color="auto"/>
            <w:bottom w:val="none" w:sz="0" w:space="0" w:color="auto"/>
            <w:right w:val="none" w:sz="0" w:space="0" w:color="auto"/>
          </w:divBdr>
        </w:div>
      </w:divsChild>
    </w:div>
    <w:div w:id="1745445699">
      <w:bodyDiv w:val="1"/>
      <w:marLeft w:val="0"/>
      <w:marRight w:val="0"/>
      <w:marTop w:val="0"/>
      <w:marBottom w:val="0"/>
      <w:divBdr>
        <w:top w:val="none" w:sz="0" w:space="0" w:color="auto"/>
        <w:left w:val="none" w:sz="0" w:space="0" w:color="auto"/>
        <w:bottom w:val="none" w:sz="0" w:space="0" w:color="auto"/>
        <w:right w:val="none" w:sz="0" w:space="0" w:color="auto"/>
      </w:divBdr>
    </w:div>
    <w:div w:id="1787846008">
      <w:bodyDiv w:val="1"/>
      <w:marLeft w:val="0"/>
      <w:marRight w:val="0"/>
      <w:marTop w:val="0"/>
      <w:marBottom w:val="0"/>
      <w:divBdr>
        <w:top w:val="none" w:sz="0" w:space="0" w:color="auto"/>
        <w:left w:val="none" w:sz="0" w:space="0" w:color="auto"/>
        <w:bottom w:val="none" w:sz="0" w:space="0" w:color="auto"/>
        <w:right w:val="none" w:sz="0" w:space="0" w:color="auto"/>
      </w:divBdr>
    </w:div>
    <w:div w:id="1810853083">
      <w:bodyDiv w:val="1"/>
      <w:marLeft w:val="0"/>
      <w:marRight w:val="0"/>
      <w:marTop w:val="0"/>
      <w:marBottom w:val="0"/>
      <w:divBdr>
        <w:top w:val="none" w:sz="0" w:space="0" w:color="auto"/>
        <w:left w:val="none" w:sz="0" w:space="0" w:color="auto"/>
        <w:bottom w:val="none" w:sz="0" w:space="0" w:color="auto"/>
        <w:right w:val="none" w:sz="0" w:space="0" w:color="auto"/>
      </w:divBdr>
      <w:divsChild>
        <w:div w:id="2052144589">
          <w:marLeft w:val="0"/>
          <w:marRight w:val="0"/>
          <w:marTop w:val="0"/>
          <w:marBottom w:val="0"/>
          <w:divBdr>
            <w:top w:val="none" w:sz="0" w:space="0" w:color="auto"/>
            <w:left w:val="none" w:sz="0" w:space="0" w:color="auto"/>
            <w:bottom w:val="none" w:sz="0" w:space="0" w:color="auto"/>
            <w:right w:val="none" w:sz="0" w:space="0" w:color="auto"/>
          </w:divBdr>
        </w:div>
      </w:divsChild>
    </w:div>
    <w:div w:id="1820072035">
      <w:bodyDiv w:val="1"/>
      <w:marLeft w:val="0"/>
      <w:marRight w:val="0"/>
      <w:marTop w:val="0"/>
      <w:marBottom w:val="0"/>
      <w:divBdr>
        <w:top w:val="none" w:sz="0" w:space="0" w:color="auto"/>
        <w:left w:val="none" w:sz="0" w:space="0" w:color="auto"/>
        <w:bottom w:val="none" w:sz="0" w:space="0" w:color="auto"/>
        <w:right w:val="none" w:sz="0" w:space="0" w:color="auto"/>
      </w:divBdr>
    </w:div>
    <w:div w:id="1858539939">
      <w:bodyDiv w:val="1"/>
      <w:marLeft w:val="0"/>
      <w:marRight w:val="0"/>
      <w:marTop w:val="0"/>
      <w:marBottom w:val="0"/>
      <w:divBdr>
        <w:top w:val="none" w:sz="0" w:space="0" w:color="auto"/>
        <w:left w:val="none" w:sz="0" w:space="0" w:color="auto"/>
        <w:bottom w:val="none" w:sz="0" w:space="0" w:color="auto"/>
        <w:right w:val="none" w:sz="0" w:space="0" w:color="auto"/>
      </w:divBdr>
      <w:divsChild>
        <w:div w:id="1488286304">
          <w:marLeft w:val="0"/>
          <w:marRight w:val="0"/>
          <w:marTop w:val="0"/>
          <w:marBottom w:val="0"/>
          <w:divBdr>
            <w:top w:val="none" w:sz="0" w:space="0" w:color="auto"/>
            <w:left w:val="none" w:sz="0" w:space="0" w:color="auto"/>
            <w:bottom w:val="none" w:sz="0" w:space="0" w:color="auto"/>
            <w:right w:val="none" w:sz="0" w:space="0" w:color="auto"/>
          </w:divBdr>
        </w:div>
      </w:divsChild>
    </w:div>
    <w:div w:id="1868714507">
      <w:bodyDiv w:val="1"/>
      <w:marLeft w:val="0"/>
      <w:marRight w:val="0"/>
      <w:marTop w:val="0"/>
      <w:marBottom w:val="0"/>
      <w:divBdr>
        <w:top w:val="none" w:sz="0" w:space="0" w:color="auto"/>
        <w:left w:val="none" w:sz="0" w:space="0" w:color="auto"/>
        <w:bottom w:val="none" w:sz="0" w:space="0" w:color="auto"/>
        <w:right w:val="none" w:sz="0" w:space="0" w:color="auto"/>
      </w:divBdr>
    </w:div>
    <w:div w:id="1885290107">
      <w:bodyDiv w:val="1"/>
      <w:marLeft w:val="0"/>
      <w:marRight w:val="0"/>
      <w:marTop w:val="0"/>
      <w:marBottom w:val="0"/>
      <w:divBdr>
        <w:top w:val="none" w:sz="0" w:space="0" w:color="auto"/>
        <w:left w:val="none" w:sz="0" w:space="0" w:color="auto"/>
        <w:bottom w:val="none" w:sz="0" w:space="0" w:color="auto"/>
        <w:right w:val="none" w:sz="0" w:space="0" w:color="auto"/>
      </w:divBdr>
    </w:div>
    <w:div w:id="1899976429">
      <w:bodyDiv w:val="1"/>
      <w:marLeft w:val="0"/>
      <w:marRight w:val="0"/>
      <w:marTop w:val="0"/>
      <w:marBottom w:val="0"/>
      <w:divBdr>
        <w:top w:val="none" w:sz="0" w:space="0" w:color="auto"/>
        <w:left w:val="none" w:sz="0" w:space="0" w:color="auto"/>
        <w:bottom w:val="none" w:sz="0" w:space="0" w:color="auto"/>
        <w:right w:val="none" w:sz="0" w:space="0" w:color="auto"/>
      </w:divBdr>
    </w:div>
    <w:div w:id="1911961310">
      <w:bodyDiv w:val="1"/>
      <w:marLeft w:val="0"/>
      <w:marRight w:val="0"/>
      <w:marTop w:val="0"/>
      <w:marBottom w:val="0"/>
      <w:divBdr>
        <w:top w:val="none" w:sz="0" w:space="0" w:color="auto"/>
        <w:left w:val="none" w:sz="0" w:space="0" w:color="auto"/>
        <w:bottom w:val="none" w:sz="0" w:space="0" w:color="auto"/>
        <w:right w:val="none" w:sz="0" w:space="0" w:color="auto"/>
      </w:divBdr>
    </w:div>
    <w:div w:id="1933051917">
      <w:bodyDiv w:val="1"/>
      <w:marLeft w:val="0"/>
      <w:marRight w:val="0"/>
      <w:marTop w:val="0"/>
      <w:marBottom w:val="0"/>
      <w:divBdr>
        <w:top w:val="none" w:sz="0" w:space="0" w:color="auto"/>
        <w:left w:val="none" w:sz="0" w:space="0" w:color="auto"/>
        <w:bottom w:val="none" w:sz="0" w:space="0" w:color="auto"/>
        <w:right w:val="none" w:sz="0" w:space="0" w:color="auto"/>
      </w:divBdr>
    </w:div>
    <w:div w:id="2030175041">
      <w:bodyDiv w:val="1"/>
      <w:marLeft w:val="0"/>
      <w:marRight w:val="0"/>
      <w:marTop w:val="0"/>
      <w:marBottom w:val="0"/>
      <w:divBdr>
        <w:top w:val="none" w:sz="0" w:space="0" w:color="auto"/>
        <w:left w:val="none" w:sz="0" w:space="0" w:color="auto"/>
        <w:bottom w:val="none" w:sz="0" w:space="0" w:color="auto"/>
        <w:right w:val="none" w:sz="0" w:space="0" w:color="auto"/>
      </w:divBdr>
    </w:div>
    <w:div w:id="2038772106">
      <w:bodyDiv w:val="1"/>
      <w:marLeft w:val="0"/>
      <w:marRight w:val="0"/>
      <w:marTop w:val="0"/>
      <w:marBottom w:val="0"/>
      <w:divBdr>
        <w:top w:val="none" w:sz="0" w:space="0" w:color="auto"/>
        <w:left w:val="none" w:sz="0" w:space="0" w:color="auto"/>
        <w:bottom w:val="none" w:sz="0" w:space="0" w:color="auto"/>
        <w:right w:val="none" w:sz="0" w:space="0" w:color="auto"/>
      </w:divBdr>
      <w:divsChild>
        <w:div w:id="151727751">
          <w:marLeft w:val="0"/>
          <w:marRight w:val="0"/>
          <w:marTop w:val="0"/>
          <w:marBottom w:val="0"/>
          <w:divBdr>
            <w:top w:val="none" w:sz="0" w:space="0" w:color="auto"/>
            <w:left w:val="none" w:sz="0" w:space="0" w:color="auto"/>
            <w:bottom w:val="none" w:sz="0" w:space="0" w:color="auto"/>
            <w:right w:val="none" w:sz="0" w:space="0" w:color="auto"/>
          </w:divBdr>
        </w:div>
      </w:divsChild>
    </w:div>
    <w:div w:id="2054885425">
      <w:bodyDiv w:val="1"/>
      <w:marLeft w:val="0"/>
      <w:marRight w:val="0"/>
      <w:marTop w:val="0"/>
      <w:marBottom w:val="0"/>
      <w:divBdr>
        <w:top w:val="none" w:sz="0" w:space="0" w:color="auto"/>
        <w:left w:val="none" w:sz="0" w:space="0" w:color="auto"/>
        <w:bottom w:val="none" w:sz="0" w:space="0" w:color="auto"/>
        <w:right w:val="none" w:sz="0" w:space="0" w:color="auto"/>
      </w:divBdr>
    </w:div>
    <w:div w:id="2067146427">
      <w:bodyDiv w:val="1"/>
      <w:marLeft w:val="0"/>
      <w:marRight w:val="0"/>
      <w:marTop w:val="0"/>
      <w:marBottom w:val="0"/>
      <w:divBdr>
        <w:top w:val="none" w:sz="0" w:space="0" w:color="auto"/>
        <w:left w:val="none" w:sz="0" w:space="0" w:color="auto"/>
        <w:bottom w:val="none" w:sz="0" w:space="0" w:color="auto"/>
        <w:right w:val="none" w:sz="0" w:space="0" w:color="auto"/>
      </w:divBdr>
      <w:divsChild>
        <w:div w:id="1903758350">
          <w:marLeft w:val="0"/>
          <w:marRight w:val="0"/>
          <w:marTop w:val="0"/>
          <w:marBottom w:val="0"/>
          <w:divBdr>
            <w:top w:val="none" w:sz="0" w:space="0" w:color="auto"/>
            <w:left w:val="none" w:sz="0" w:space="0" w:color="auto"/>
            <w:bottom w:val="none" w:sz="0" w:space="0" w:color="auto"/>
            <w:right w:val="none" w:sz="0" w:space="0" w:color="auto"/>
          </w:divBdr>
        </w:div>
      </w:divsChild>
    </w:div>
    <w:div w:id="2067293324">
      <w:bodyDiv w:val="1"/>
      <w:marLeft w:val="0"/>
      <w:marRight w:val="0"/>
      <w:marTop w:val="0"/>
      <w:marBottom w:val="0"/>
      <w:divBdr>
        <w:top w:val="none" w:sz="0" w:space="0" w:color="auto"/>
        <w:left w:val="none" w:sz="0" w:space="0" w:color="auto"/>
        <w:bottom w:val="none" w:sz="0" w:space="0" w:color="auto"/>
        <w:right w:val="none" w:sz="0" w:space="0" w:color="auto"/>
      </w:divBdr>
    </w:div>
    <w:div w:id="2107074299">
      <w:bodyDiv w:val="1"/>
      <w:marLeft w:val="0"/>
      <w:marRight w:val="0"/>
      <w:marTop w:val="0"/>
      <w:marBottom w:val="0"/>
      <w:divBdr>
        <w:top w:val="none" w:sz="0" w:space="0" w:color="auto"/>
        <w:left w:val="none" w:sz="0" w:space="0" w:color="auto"/>
        <w:bottom w:val="none" w:sz="0" w:space="0" w:color="auto"/>
        <w:right w:val="none" w:sz="0" w:space="0" w:color="auto"/>
      </w:divBdr>
    </w:div>
    <w:div w:id="21235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2.wmf"/><Relationship Id="rId33"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3.xml"/><Relationship Id="rId32"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9.xml"/><Relationship Id="rId31"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image" Target="media/image3.wmf"/><Relationship Id="rId30" Type="http://schemas.openxmlformats.org/officeDocument/2006/relationships/oleObject" Target="embeddings/oleObject10.bin"/><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8.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9.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embeddings/oleObject5.bin"/><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oleObject" Target="file:///E:\&#27745;&#27700;&#21378;&#25253;&#21578;\2023\&#20840;&#24180;\2023&#24180;&#27745;&#27700;&#21378;&#30456;&#20851;&#22270;&#34920;.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5.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30363762333178"/>
          <c:y val="0.11567662150339315"/>
          <c:w val="0.78675139291799057"/>
          <c:h val="0.40996965469406416"/>
        </c:manualLayout>
      </c:layout>
      <c:barChart>
        <c:barDir val="col"/>
        <c:grouping val="clustered"/>
        <c:varyColors val="0"/>
        <c:ser>
          <c:idx val="1"/>
          <c:order val="1"/>
          <c:tx>
            <c:strRef>
              <c:f>废水各行业达标率!$C$5:$C$6</c:f>
              <c:strCache>
                <c:ptCount val="2"/>
                <c:pt idx="0">
                  <c:v>废水</c:v>
                </c:pt>
                <c:pt idx="1">
                  <c:v>达标率</c:v>
                </c:pt>
              </c:strCache>
            </c:strRef>
          </c:tx>
          <c:spPr>
            <a:solidFill>
              <a:schemeClr val="accent3">
                <a:lumMod val="75000"/>
              </a:schemeClr>
            </a:solidFill>
            <a:ln>
              <a:noFill/>
            </a:ln>
            <a:effectLst/>
          </c:spPr>
          <c:invertIfNegative val="0"/>
          <c:dLbls>
            <c:dLbl>
              <c:idx val="1"/>
              <c:layout>
                <c:manualLayout>
                  <c:x val="-2.3108235958827061E-3"/>
                  <c:y val="-3.07547434433291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40-46FB-92F7-C5D54173F7CA}"/>
                </c:ext>
              </c:extLst>
            </c:dLbl>
            <c:dLbl>
              <c:idx val="11"/>
              <c:layout>
                <c:manualLayout>
                  <c:x val="0"/>
                  <c:y val="-8.089959343317390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40-46FB-92F7-C5D54173F7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废水各行业达标率!$A$7:$A$19</c:f>
              <c:strCache>
                <c:ptCount val="13"/>
                <c:pt idx="0">
                  <c:v>金属制品业 </c:v>
                </c:pt>
                <c:pt idx="1">
                  <c:v>纺织业</c:v>
                </c:pt>
                <c:pt idx="2">
                  <c:v>化学原料和化学制品制造业</c:v>
                </c:pt>
                <c:pt idx="3">
                  <c:v>公共设施管理业</c:v>
                </c:pt>
                <c:pt idx="4">
                  <c:v>电力、热力生产和供应业</c:v>
                </c:pt>
                <c:pt idx="5">
                  <c:v>医药制造业 </c:v>
                </c:pt>
                <c:pt idx="6">
                  <c:v>造纸和纸制品业 </c:v>
                </c:pt>
                <c:pt idx="7">
                  <c:v>卫生</c:v>
                </c:pt>
                <c:pt idx="8">
                  <c:v>生态保护和环境治理业</c:v>
                </c:pt>
                <c:pt idx="9">
                  <c:v>皮革、毛皮、羽毛及其制品和制鞋业</c:v>
                </c:pt>
                <c:pt idx="10">
                  <c:v>汽车制造业</c:v>
                </c:pt>
                <c:pt idx="11">
                  <c:v>农副食品加工业</c:v>
                </c:pt>
                <c:pt idx="12">
                  <c:v>其他行业</c:v>
                </c:pt>
              </c:strCache>
            </c:strRef>
          </c:cat>
          <c:val>
            <c:numRef>
              <c:f>废水各行业达标率!$C$7:$C$19</c:f>
              <c:numCache>
                <c:formatCode>0.0_ </c:formatCode>
                <c:ptCount val="13"/>
                <c:pt idx="0">
                  <c:v>99.51549833887043</c:v>
                </c:pt>
                <c:pt idx="1">
                  <c:v>98.347107438016522</c:v>
                </c:pt>
                <c:pt idx="2">
                  <c:v>99.606299212598429</c:v>
                </c:pt>
                <c:pt idx="3" formatCode="General">
                  <c:v>100</c:v>
                </c:pt>
                <c:pt idx="4">
                  <c:v>96.451612903225808</c:v>
                </c:pt>
                <c:pt idx="5" formatCode="General">
                  <c:v>100</c:v>
                </c:pt>
                <c:pt idx="6" formatCode="General">
                  <c:v>100</c:v>
                </c:pt>
                <c:pt idx="7" formatCode="General">
                  <c:v>100</c:v>
                </c:pt>
                <c:pt idx="8">
                  <c:v>99.290851063829791</c:v>
                </c:pt>
                <c:pt idx="9" formatCode="General">
                  <c:v>100</c:v>
                </c:pt>
                <c:pt idx="10" formatCode="General">
                  <c:v>100</c:v>
                </c:pt>
                <c:pt idx="11">
                  <c:v>98.990000000000009</c:v>
                </c:pt>
                <c:pt idx="12" formatCode="0.0_);[Red]\(0.0\)">
                  <c:v>99.6</c:v>
                </c:pt>
              </c:numCache>
            </c:numRef>
          </c:val>
          <c:extLst>
            <c:ext xmlns:c16="http://schemas.microsoft.com/office/drawing/2014/chart" uri="{C3380CC4-5D6E-409C-BE32-E72D297353CC}">
              <c16:uniqueId val="{00000002-6640-46FB-92F7-C5D54173F7CA}"/>
            </c:ext>
          </c:extLst>
        </c:ser>
        <c:dLbls>
          <c:showLegendKey val="0"/>
          <c:showVal val="0"/>
          <c:showCatName val="0"/>
          <c:showSerName val="0"/>
          <c:showPercent val="0"/>
          <c:showBubbleSize val="0"/>
        </c:dLbls>
        <c:gapWidth val="100"/>
        <c:overlap val="100"/>
        <c:axId val="1161402175"/>
        <c:axId val="1161400095"/>
      </c:barChart>
      <c:barChart>
        <c:barDir val="col"/>
        <c:grouping val="clustered"/>
        <c:varyColors val="0"/>
        <c:ser>
          <c:idx val="0"/>
          <c:order val="0"/>
          <c:tx>
            <c:strRef>
              <c:f>废水各行业达标率!$B$5:$B$6</c:f>
              <c:strCache>
                <c:ptCount val="2"/>
                <c:pt idx="0">
                  <c:v>废水</c:v>
                </c:pt>
                <c:pt idx="1">
                  <c:v>监测家数</c:v>
                </c:pt>
              </c:strCache>
            </c:strRef>
          </c:tx>
          <c:spPr>
            <a:no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废水各行业达标率!$A$7:$A$19</c:f>
              <c:strCache>
                <c:ptCount val="13"/>
                <c:pt idx="0">
                  <c:v>金属制品业 </c:v>
                </c:pt>
                <c:pt idx="1">
                  <c:v>纺织业</c:v>
                </c:pt>
                <c:pt idx="2">
                  <c:v>化学原料和化学制品制造业</c:v>
                </c:pt>
                <c:pt idx="3">
                  <c:v>公共设施管理业</c:v>
                </c:pt>
                <c:pt idx="4">
                  <c:v>电力、热力生产和供应业</c:v>
                </c:pt>
                <c:pt idx="5">
                  <c:v>医药制造业 </c:v>
                </c:pt>
                <c:pt idx="6">
                  <c:v>造纸和纸制品业 </c:v>
                </c:pt>
                <c:pt idx="7">
                  <c:v>卫生</c:v>
                </c:pt>
                <c:pt idx="8">
                  <c:v>生态保护和环境治理业</c:v>
                </c:pt>
                <c:pt idx="9">
                  <c:v>皮革、毛皮、羽毛及其制品和制鞋业</c:v>
                </c:pt>
                <c:pt idx="10">
                  <c:v>汽车制造业</c:v>
                </c:pt>
                <c:pt idx="11">
                  <c:v>农副食品加工业</c:v>
                </c:pt>
                <c:pt idx="12">
                  <c:v>其他行业</c:v>
                </c:pt>
              </c:strCache>
            </c:strRef>
          </c:cat>
          <c:val>
            <c:numRef>
              <c:f>废水各行业达标率!$B$7:$B$19</c:f>
              <c:numCache>
                <c:formatCode>General</c:formatCode>
                <c:ptCount val="13"/>
                <c:pt idx="0">
                  <c:v>602</c:v>
                </c:pt>
                <c:pt idx="1">
                  <c:v>242</c:v>
                </c:pt>
                <c:pt idx="2">
                  <c:v>127</c:v>
                </c:pt>
                <c:pt idx="3">
                  <c:v>67</c:v>
                </c:pt>
                <c:pt idx="4">
                  <c:v>62</c:v>
                </c:pt>
                <c:pt idx="5">
                  <c:v>56</c:v>
                </c:pt>
                <c:pt idx="6">
                  <c:v>53</c:v>
                </c:pt>
                <c:pt idx="7">
                  <c:v>53</c:v>
                </c:pt>
                <c:pt idx="8">
                  <c:v>47</c:v>
                </c:pt>
                <c:pt idx="9">
                  <c:v>40</c:v>
                </c:pt>
                <c:pt idx="10">
                  <c:v>39</c:v>
                </c:pt>
                <c:pt idx="11">
                  <c:v>33</c:v>
                </c:pt>
                <c:pt idx="12">
                  <c:v>342</c:v>
                </c:pt>
              </c:numCache>
            </c:numRef>
          </c:val>
          <c:extLst>
            <c:ext xmlns:c16="http://schemas.microsoft.com/office/drawing/2014/chart" uri="{C3380CC4-5D6E-409C-BE32-E72D297353CC}">
              <c16:uniqueId val="{00000003-6640-46FB-92F7-C5D54173F7CA}"/>
            </c:ext>
          </c:extLst>
        </c:ser>
        <c:dLbls>
          <c:showLegendKey val="0"/>
          <c:showVal val="0"/>
          <c:showCatName val="0"/>
          <c:showSerName val="0"/>
          <c:showPercent val="0"/>
          <c:showBubbleSize val="0"/>
        </c:dLbls>
        <c:gapWidth val="219"/>
        <c:overlap val="100"/>
        <c:axId val="1301155199"/>
        <c:axId val="1301166847"/>
      </c:barChart>
      <c:catAx>
        <c:axId val="1161402175"/>
        <c:scaling>
          <c:orientation val="minMax"/>
        </c:scaling>
        <c:delete val="0"/>
        <c:axPos val="b"/>
        <c:numFmt formatCode="General" sourceLinked="1"/>
        <c:majorTickMark val="in"/>
        <c:minorTickMark val="none"/>
        <c:tickLblPos val="nextTo"/>
        <c:spPr>
          <a:noFill/>
          <a:ln w="635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effectLst/>
                <a:latin typeface="+mn-ea"/>
                <a:ea typeface="+mn-ea"/>
                <a:cs typeface="+mn-cs"/>
              </a:defRPr>
            </a:pPr>
            <a:endParaRPr lang="zh-CN"/>
          </a:p>
        </c:txPr>
        <c:crossAx val="1161400095"/>
        <c:crosses val="autoZero"/>
        <c:auto val="0"/>
        <c:lblAlgn val="ctr"/>
        <c:lblOffset val="100"/>
        <c:noMultiLvlLbl val="0"/>
      </c:catAx>
      <c:valAx>
        <c:axId val="1161400095"/>
        <c:scaling>
          <c:orientation val="minMax"/>
          <c:max val="100"/>
          <c:min val="80"/>
        </c:scaling>
        <c:delete val="0"/>
        <c:axPos val="l"/>
        <c:numFmt formatCode="#,##0_);[Red]\(#,##0\)" sourceLinked="0"/>
        <c:majorTickMark val="in"/>
        <c:minorTickMark val="none"/>
        <c:tickLblPos val="nextTo"/>
        <c:spPr>
          <a:noFill/>
          <a:ln w="6350">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1161402175"/>
        <c:crosses val="autoZero"/>
        <c:crossBetween val="between"/>
        <c:majorUnit val="5"/>
      </c:valAx>
      <c:valAx>
        <c:axId val="1301166847"/>
        <c:scaling>
          <c:orientation val="minMax"/>
        </c:scaling>
        <c:delete val="0"/>
        <c:axPos val="r"/>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ea"/>
                <a:ea typeface="+mn-ea"/>
                <a:cs typeface="+mn-cs"/>
              </a:defRPr>
            </a:pPr>
            <a:endParaRPr lang="zh-CN"/>
          </a:p>
        </c:txPr>
        <c:crossAx val="1301155199"/>
        <c:crosses val="max"/>
        <c:crossBetween val="between"/>
      </c:valAx>
      <c:catAx>
        <c:axId val="1301155199"/>
        <c:scaling>
          <c:orientation val="minMax"/>
        </c:scaling>
        <c:delete val="1"/>
        <c:axPos val="b"/>
        <c:numFmt formatCode="General" sourceLinked="1"/>
        <c:majorTickMark val="out"/>
        <c:minorTickMark val="none"/>
        <c:tickLblPos val="nextTo"/>
        <c:crossAx val="1301166847"/>
        <c:crosses val="autoZero"/>
        <c:auto val="0"/>
        <c:lblAlgn val="ctr"/>
        <c:lblOffset val="100"/>
        <c:noMultiLvlLbl val="0"/>
      </c:catAx>
      <c:spPr>
        <a:noFill/>
        <a:ln w="6350">
          <a:solidFill>
            <a:sysClr val="windowText" lastClr="000000"/>
          </a:solid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mn-ea"/>
          <a:ea typeface="+mn-ea"/>
        </a:defRPr>
      </a:pPr>
      <a:endParaRPr lang="zh-CN"/>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29467340348453"/>
          <c:y val="0.16738074280855336"/>
          <c:w val="0.81683667055329234"/>
          <c:h val="0.43107254652658505"/>
        </c:manualLayout>
      </c:layout>
      <c:barChart>
        <c:barDir val="col"/>
        <c:grouping val="clustered"/>
        <c:varyColors val="0"/>
        <c:ser>
          <c:idx val="0"/>
          <c:order val="0"/>
          <c:tx>
            <c:v>2023年</c:v>
          </c:tx>
          <c:spPr>
            <a:solidFill>
              <a:schemeClr val="accent1"/>
            </a:solidFill>
            <a:ln>
              <a:noFill/>
            </a:ln>
            <a:effectLst/>
          </c:spPr>
          <c:invertIfNegative val="0"/>
          <c:cat>
            <c:strRef>
              <c:f>'各设区市行业达标率环比同比 (2)'!$A$4:$A$15</c:f>
              <c:strCache>
                <c:ptCount val="11"/>
                <c:pt idx="0">
                  <c:v>电气机械和器材制造业</c:v>
                </c:pt>
                <c:pt idx="1">
                  <c:v>纺织业</c:v>
                </c:pt>
                <c:pt idx="2">
                  <c:v>非金属矿物制品业</c:v>
                </c:pt>
                <c:pt idx="3">
                  <c:v>公共设施管理业</c:v>
                </c:pt>
                <c:pt idx="4">
                  <c:v>化学原料和化学制品制造业</c:v>
                </c:pt>
                <c:pt idx="5">
                  <c:v>橡胶和塑料制品业</c:v>
                </c:pt>
                <c:pt idx="6">
                  <c:v>金属制品业</c:v>
                </c:pt>
                <c:pt idx="7">
                  <c:v>医药制造业</c:v>
                </c:pt>
                <c:pt idx="8">
                  <c:v>电力、热力生产和供应业</c:v>
                </c:pt>
                <c:pt idx="9">
                  <c:v>有色金属冶炼和压延加工业</c:v>
                </c:pt>
                <c:pt idx="10">
                  <c:v>生态保护和环境治理业</c:v>
                </c:pt>
              </c:strCache>
              <c:extLst/>
            </c:strRef>
          </c:cat>
          <c:val>
            <c:numRef>
              <c:f>'各设区市行业达标率环比同比 (2)'!$B$4:$B$15</c:f>
              <c:numCache>
                <c:formatCode>General</c:formatCode>
                <c:ptCount val="11"/>
                <c:pt idx="0">
                  <c:v>100</c:v>
                </c:pt>
                <c:pt idx="1">
                  <c:v>100</c:v>
                </c:pt>
                <c:pt idx="2">
                  <c:v>100</c:v>
                </c:pt>
                <c:pt idx="3">
                  <c:v>99.3</c:v>
                </c:pt>
                <c:pt idx="4">
                  <c:v>100</c:v>
                </c:pt>
                <c:pt idx="5">
                  <c:v>100</c:v>
                </c:pt>
                <c:pt idx="6">
                  <c:v>99.7</c:v>
                </c:pt>
                <c:pt idx="7">
                  <c:v>99.3</c:v>
                </c:pt>
                <c:pt idx="8">
                  <c:v>99.3</c:v>
                </c:pt>
                <c:pt idx="9">
                  <c:v>99</c:v>
                </c:pt>
                <c:pt idx="10">
                  <c:v>98.1</c:v>
                </c:pt>
              </c:numCache>
              <c:extLst/>
            </c:numRef>
          </c:val>
          <c:extLst>
            <c:ext xmlns:c16="http://schemas.microsoft.com/office/drawing/2014/chart" uri="{C3380CC4-5D6E-409C-BE32-E72D297353CC}">
              <c16:uniqueId val="{00000000-8DD3-4BB1-B21A-4AB4546F93F7}"/>
            </c:ext>
          </c:extLst>
        </c:ser>
        <c:ser>
          <c:idx val="1"/>
          <c:order val="1"/>
          <c:tx>
            <c:v>2022年</c:v>
          </c:tx>
          <c:spPr>
            <a:solidFill>
              <a:schemeClr val="accent2"/>
            </a:solidFill>
            <a:ln>
              <a:noFill/>
            </a:ln>
            <a:effectLst/>
          </c:spPr>
          <c:invertIfNegative val="0"/>
          <c:cat>
            <c:strRef>
              <c:f>'各设区市行业达标率环比同比 (2)'!$A$4:$A$15</c:f>
              <c:strCache>
                <c:ptCount val="11"/>
                <c:pt idx="0">
                  <c:v>电气机械和器材制造业</c:v>
                </c:pt>
                <c:pt idx="1">
                  <c:v>纺织业</c:v>
                </c:pt>
                <c:pt idx="2">
                  <c:v>非金属矿物制品业</c:v>
                </c:pt>
                <c:pt idx="3">
                  <c:v>公共设施管理业</c:v>
                </c:pt>
                <c:pt idx="4">
                  <c:v>化学原料和化学制品制造业</c:v>
                </c:pt>
                <c:pt idx="5">
                  <c:v>橡胶和塑料制品业</c:v>
                </c:pt>
                <c:pt idx="6">
                  <c:v>金属制品业</c:v>
                </c:pt>
                <c:pt idx="7">
                  <c:v>医药制造业</c:v>
                </c:pt>
                <c:pt idx="8">
                  <c:v>电力、热力生产和供应业</c:v>
                </c:pt>
                <c:pt idx="9">
                  <c:v>有色金属冶炼和压延加工业</c:v>
                </c:pt>
                <c:pt idx="10">
                  <c:v>生态保护和环境治理业</c:v>
                </c:pt>
              </c:strCache>
              <c:extLst/>
            </c:strRef>
          </c:cat>
          <c:val>
            <c:numRef>
              <c:f>'各设区市行业达标率环比同比 (2)'!$C$4:$C$15</c:f>
              <c:numCache>
                <c:formatCode>General</c:formatCode>
                <c:ptCount val="11"/>
                <c:pt idx="0">
                  <c:v>98.4</c:v>
                </c:pt>
                <c:pt idx="1">
                  <c:v>98.7</c:v>
                </c:pt>
                <c:pt idx="2">
                  <c:v>98.8</c:v>
                </c:pt>
                <c:pt idx="3">
                  <c:v>98.4</c:v>
                </c:pt>
                <c:pt idx="4">
                  <c:v>99.5</c:v>
                </c:pt>
                <c:pt idx="5">
                  <c:v>100</c:v>
                </c:pt>
                <c:pt idx="6">
                  <c:v>99.9</c:v>
                </c:pt>
                <c:pt idx="7">
                  <c:v>99.6</c:v>
                </c:pt>
                <c:pt idx="8">
                  <c:v>100</c:v>
                </c:pt>
                <c:pt idx="9">
                  <c:v>100</c:v>
                </c:pt>
                <c:pt idx="10">
                  <c:v>99.8</c:v>
                </c:pt>
              </c:numCache>
              <c:extLst/>
            </c:numRef>
          </c:val>
          <c:extLst>
            <c:ext xmlns:c16="http://schemas.microsoft.com/office/drawing/2014/chart" uri="{C3380CC4-5D6E-409C-BE32-E72D297353CC}">
              <c16:uniqueId val="{00000001-8DD3-4BB1-B21A-4AB4546F93F7}"/>
            </c:ext>
          </c:extLst>
        </c:ser>
        <c:dLbls>
          <c:showLegendKey val="0"/>
          <c:showVal val="0"/>
          <c:showCatName val="0"/>
          <c:showSerName val="0"/>
          <c:showPercent val="0"/>
          <c:showBubbleSize val="0"/>
        </c:dLbls>
        <c:gapWidth val="100"/>
        <c:overlap val="-15"/>
        <c:axId val="1167939503"/>
        <c:axId val="1167928271"/>
      </c:barChart>
      <c:barChart>
        <c:barDir val="col"/>
        <c:grouping val="clustered"/>
        <c:varyColors val="0"/>
        <c:ser>
          <c:idx val="2"/>
          <c:order val="2"/>
          <c:spPr>
            <a:solidFill>
              <a:srgbClr val="FF0000"/>
            </a:solidFill>
            <a:ln>
              <a:noFill/>
            </a:ln>
            <a:effectLst/>
          </c:spPr>
          <c:invertIfNegative val="1"/>
          <c:dLbls>
            <c:dLbl>
              <c:idx val="2"/>
              <c:layout>
                <c:manualLayout>
                  <c:x val="0"/>
                  <c:y val="7.9320113314447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D3-4BB1-B21A-4AB4546F93F7}"/>
                </c:ext>
              </c:extLst>
            </c:dLbl>
            <c:dLbl>
              <c:idx val="3"/>
              <c:layout>
                <c:manualLayout>
                  <c:x val="-4.3924807090936083E-17"/>
                  <c:y val="8.3131166677819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D3-4BB1-B21A-4AB4546F93F7}"/>
                </c:ext>
              </c:extLst>
            </c:dLbl>
            <c:dLbl>
              <c:idx val="4"/>
              <c:layout>
                <c:manualLayout>
                  <c:x val="2.3959262462212283E-3"/>
                  <c:y val="7.32903571189578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D3-4BB1-B21A-4AB4546F93F7}"/>
                </c:ext>
              </c:extLst>
            </c:dLbl>
            <c:dLbl>
              <c:idx val="5"/>
              <c:layout>
                <c:manualLayout>
                  <c:x val="-4.8507130427434117E-3"/>
                  <c:y val="5.78772129404503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D3-4BB1-B21A-4AB4546F93F7}"/>
                </c:ext>
              </c:extLst>
            </c:dLbl>
            <c:dLbl>
              <c:idx val="6"/>
              <c:layout>
                <c:manualLayout>
                  <c:x val="-8.7849614181872166E-17"/>
                  <c:y val="-9.80660703531038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D3-4BB1-B21A-4AB4546F93F7}"/>
                </c:ext>
              </c:extLst>
            </c:dLbl>
            <c:dLbl>
              <c:idx val="7"/>
              <c:layout>
                <c:manualLayout>
                  <c:x val="0"/>
                  <c:y val="-1.0416304194270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DD3-4BB1-B21A-4AB4546F93F7}"/>
                </c:ext>
              </c:extLst>
            </c:dLbl>
            <c:dLbl>
              <c:idx val="8"/>
              <c:layout>
                <c:manualLayout>
                  <c:x val="-8.5693796024032926E-17"/>
                  <c:y val="-1.0416666666666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D3-4BB1-B21A-4AB4546F93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'各设区市行业达标率环比同比 (2)'!$A$4:$A$15</c:f>
              <c:strCache>
                <c:ptCount val="11"/>
                <c:pt idx="0">
                  <c:v>电气机械和器材制造业</c:v>
                </c:pt>
                <c:pt idx="1">
                  <c:v>纺织业</c:v>
                </c:pt>
                <c:pt idx="2">
                  <c:v>非金属矿物制品业</c:v>
                </c:pt>
                <c:pt idx="3">
                  <c:v>公共设施管理业</c:v>
                </c:pt>
                <c:pt idx="4">
                  <c:v>化学原料和化学制品制造业</c:v>
                </c:pt>
                <c:pt idx="5">
                  <c:v>橡胶和塑料制品业</c:v>
                </c:pt>
                <c:pt idx="6">
                  <c:v>金属制品业</c:v>
                </c:pt>
                <c:pt idx="7">
                  <c:v>医药制造业</c:v>
                </c:pt>
                <c:pt idx="8">
                  <c:v>电力、热力生产和供应业</c:v>
                </c:pt>
                <c:pt idx="9">
                  <c:v>有色金属冶炼和压延加工业</c:v>
                </c:pt>
                <c:pt idx="10">
                  <c:v>生态保护和环境治理业</c:v>
                </c:pt>
              </c:strCache>
              <c:extLst/>
            </c:strRef>
          </c:cat>
          <c:val>
            <c:numRef>
              <c:f>'各设区市行业达标率环比同比 (2)'!$D$4:$D$15</c:f>
              <c:numCache>
                <c:formatCode>General</c:formatCode>
                <c:ptCount val="11"/>
                <c:pt idx="0">
                  <c:v>1.6</c:v>
                </c:pt>
                <c:pt idx="1">
                  <c:v>1.3</c:v>
                </c:pt>
                <c:pt idx="2">
                  <c:v>1.2</c:v>
                </c:pt>
                <c:pt idx="3">
                  <c:v>0.9</c:v>
                </c:pt>
                <c:pt idx="4">
                  <c:v>0.5</c:v>
                </c:pt>
                <c:pt idx="5">
                  <c:v>0</c:v>
                </c:pt>
                <c:pt idx="6">
                  <c:v>-0.2</c:v>
                </c:pt>
                <c:pt idx="7">
                  <c:v>-0.3</c:v>
                </c:pt>
                <c:pt idx="8">
                  <c:v>-0.7</c:v>
                </c:pt>
                <c:pt idx="9" formatCode="0.0_ ">
                  <c:v>-1</c:v>
                </c:pt>
                <c:pt idx="10">
                  <c:v>-1.7</c:v>
                </c:pt>
              </c:numCache>
              <c:extLst/>
            </c:numRef>
          </c:val>
          <c:extLst>
            <c:ext xmlns:c14="http://schemas.microsoft.com/office/drawing/2007/8/2/chart" uri="{6F2FDCE9-48DA-4B69-8628-5D25D57E5C99}">
              <c14:invertSolidFillFmt>
                <c14:spPr xmlns:c14="http://schemas.microsoft.com/office/drawing/2007/8/2/chart">
                  <a:solidFill>
                    <a:srgbClr val="92D050"/>
                  </a:solidFill>
                  <a:ln>
                    <a:noFill/>
                  </a:ln>
                  <a:effectLst/>
                </c14:spPr>
              </c14:invertSolidFillFmt>
            </c:ext>
            <c:ext xmlns:c16="http://schemas.microsoft.com/office/drawing/2014/chart" uri="{C3380CC4-5D6E-409C-BE32-E72D297353CC}">
              <c16:uniqueId val="{00000009-8DD3-4BB1-B21A-4AB4546F93F7}"/>
            </c:ext>
          </c:extLst>
        </c:ser>
        <c:dLbls>
          <c:showLegendKey val="0"/>
          <c:showVal val="0"/>
          <c:showCatName val="0"/>
          <c:showSerName val="0"/>
          <c:showPercent val="0"/>
          <c:showBubbleSize val="0"/>
        </c:dLbls>
        <c:gapWidth val="219"/>
        <c:overlap val="-27"/>
        <c:axId val="1249918735"/>
        <c:axId val="1249924975"/>
      </c:barChart>
      <c:catAx>
        <c:axId val="1167939503"/>
        <c:scaling>
          <c:orientation val="minMax"/>
        </c:scaling>
        <c:delete val="0"/>
        <c:axPos val="b"/>
        <c:numFmt formatCode="General" sourceLinked="1"/>
        <c:majorTickMark val="in"/>
        <c:minorTickMark val="none"/>
        <c:tickLblPos val="nextTo"/>
        <c:spPr>
          <a:noFill/>
          <a:ln w="6350"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宋体" panose="02010600030101010101" pitchFamily="2" charset="-122"/>
                <a:cs typeface="+mn-cs"/>
              </a:defRPr>
            </a:pPr>
            <a:endParaRPr lang="zh-CN"/>
          </a:p>
        </c:txPr>
        <c:crossAx val="1167928271"/>
        <c:crosses val="autoZero"/>
        <c:auto val="1"/>
        <c:lblAlgn val="ctr"/>
        <c:lblOffset val="100"/>
        <c:noMultiLvlLbl val="0"/>
      </c:catAx>
      <c:valAx>
        <c:axId val="1167928271"/>
        <c:scaling>
          <c:orientation val="minMax"/>
          <c:max val="104"/>
          <c:min val="90"/>
        </c:scaling>
        <c:delete val="0"/>
        <c:axPos val="l"/>
        <c:numFmt formatCode="0_ " sourceLinked="0"/>
        <c:majorTickMark val="in"/>
        <c:minorTickMark val="in"/>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67939503"/>
        <c:crosses val="autoZero"/>
        <c:crossBetween val="between"/>
        <c:majorUnit val="5"/>
        <c:minorUnit val="5"/>
      </c:valAx>
      <c:valAx>
        <c:axId val="1249924975"/>
        <c:scaling>
          <c:orientation val="minMax"/>
          <c:max val="3"/>
          <c:min val="-40"/>
        </c:scaling>
        <c:delete val="0"/>
        <c:axPos val="r"/>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249918735"/>
        <c:crosses val="max"/>
        <c:crossBetween val="between"/>
        <c:majorUnit val="10"/>
      </c:valAx>
      <c:catAx>
        <c:axId val="1249918735"/>
        <c:scaling>
          <c:orientation val="minMax"/>
        </c:scaling>
        <c:delete val="1"/>
        <c:axPos val="b"/>
        <c:numFmt formatCode="General" sourceLinked="1"/>
        <c:majorTickMark val="out"/>
        <c:minorTickMark val="none"/>
        <c:tickLblPos val="nextTo"/>
        <c:crossAx val="1249924975"/>
        <c:crosses val="autoZero"/>
        <c:auto val="1"/>
        <c:lblAlgn val="ctr"/>
        <c:lblOffset val="100"/>
        <c:noMultiLvlLbl val="0"/>
      </c:catAx>
      <c:spPr>
        <a:noFill/>
        <a:ln w="6350">
          <a:solidFill>
            <a:schemeClr val="tx1"/>
          </a:solidFill>
        </a:ln>
        <a:effectLst/>
      </c:spPr>
    </c:plotArea>
    <c:legend>
      <c:legendPos val="t"/>
      <c:legendEntry>
        <c:idx val="2"/>
        <c:delete val="1"/>
      </c:legendEntry>
      <c:layout>
        <c:manualLayout>
          <c:xMode val="edge"/>
          <c:yMode val="edge"/>
          <c:x val="0.43731728704177442"/>
          <c:y val="3.7771482530689328E-2"/>
          <c:w val="0.20682691828797298"/>
          <c:h val="5.99257953945558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lt1"/>
    </a:solidFill>
    <a:ln w="9525" cap="flat" cmpd="sng" algn="ctr">
      <a:noFill/>
      <a:round/>
    </a:ln>
    <a:effectLst/>
  </c:spPr>
  <c:txPr>
    <a:bodyPr/>
    <a:lstStyle/>
    <a:p>
      <a:pPr>
        <a:defRPr/>
      </a:pPr>
      <a:endParaRPr lang="zh-CN"/>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373762308911543E-2"/>
          <c:y val="0.2391622805709018"/>
          <c:w val="0.85919087374623637"/>
          <c:h val="0.64614602007363431"/>
        </c:manualLayout>
      </c:layout>
      <c:barChart>
        <c:barDir val="col"/>
        <c:grouping val="clustered"/>
        <c:varyColors val="0"/>
        <c:ser>
          <c:idx val="0"/>
          <c:order val="0"/>
          <c:tx>
            <c:strRef>
              <c:f>各设区市废气达标率环比同比!$B$4</c:f>
              <c:strCache>
                <c:ptCount val="1"/>
                <c:pt idx="0">
                  <c:v>2023年</c:v>
                </c:pt>
              </c:strCache>
            </c:strRef>
          </c:tx>
          <c:spPr>
            <a:solidFill>
              <a:schemeClr val="accent1"/>
            </a:solidFill>
            <a:ln>
              <a:noFill/>
            </a:ln>
            <a:effectLst/>
          </c:spPr>
          <c:invertIfNegative val="0"/>
          <c:cat>
            <c:strRef>
              <c:f>各设区市废气达标率环比同比!$A$5:$A$15</c:f>
              <c:strCache>
                <c:ptCount val="11"/>
                <c:pt idx="0">
                  <c:v>舟山</c:v>
                </c:pt>
                <c:pt idx="1">
                  <c:v>湖州</c:v>
                </c:pt>
                <c:pt idx="2">
                  <c:v>嘉兴</c:v>
                </c:pt>
                <c:pt idx="3">
                  <c:v>绍兴</c:v>
                </c:pt>
                <c:pt idx="4">
                  <c:v>杭州</c:v>
                </c:pt>
                <c:pt idx="5">
                  <c:v>宁波</c:v>
                </c:pt>
                <c:pt idx="6">
                  <c:v>温州</c:v>
                </c:pt>
                <c:pt idx="7">
                  <c:v>金华</c:v>
                </c:pt>
                <c:pt idx="8">
                  <c:v>衢州</c:v>
                </c:pt>
                <c:pt idx="9">
                  <c:v>丽水</c:v>
                </c:pt>
                <c:pt idx="10">
                  <c:v>台州</c:v>
                </c:pt>
              </c:strCache>
            </c:strRef>
          </c:cat>
          <c:val>
            <c:numRef>
              <c:f>各设区市废气达标率环比同比!$B$5:$B$15</c:f>
              <c:numCache>
                <c:formatCode>General</c:formatCode>
                <c:ptCount val="11"/>
                <c:pt idx="0">
                  <c:v>100</c:v>
                </c:pt>
                <c:pt idx="1">
                  <c:v>99.3</c:v>
                </c:pt>
                <c:pt idx="2">
                  <c:v>100</c:v>
                </c:pt>
                <c:pt idx="3">
                  <c:v>100</c:v>
                </c:pt>
                <c:pt idx="4" formatCode="0.0_ ">
                  <c:v>99.9</c:v>
                </c:pt>
                <c:pt idx="5">
                  <c:v>100</c:v>
                </c:pt>
                <c:pt idx="6">
                  <c:v>100</c:v>
                </c:pt>
                <c:pt idx="7">
                  <c:v>100</c:v>
                </c:pt>
                <c:pt idx="8" formatCode="0.0_ ">
                  <c:v>98.5</c:v>
                </c:pt>
                <c:pt idx="9" formatCode="0_ ">
                  <c:v>100</c:v>
                </c:pt>
                <c:pt idx="10" formatCode="0.0_ ">
                  <c:v>98.9</c:v>
                </c:pt>
              </c:numCache>
            </c:numRef>
          </c:val>
          <c:extLst>
            <c:ext xmlns:c16="http://schemas.microsoft.com/office/drawing/2014/chart" uri="{C3380CC4-5D6E-409C-BE32-E72D297353CC}">
              <c16:uniqueId val="{00000000-8A47-4E90-8191-97DA9EFDDE9A}"/>
            </c:ext>
          </c:extLst>
        </c:ser>
        <c:ser>
          <c:idx val="1"/>
          <c:order val="1"/>
          <c:tx>
            <c:strRef>
              <c:f>各设区市废气达标率环比同比!$C$4</c:f>
              <c:strCache>
                <c:ptCount val="1"/>
                <c:pt idx="0">
                  <c:v>2022年</c:v>
                </c:pt>
              </c:strCache>
            </c:strRef>
          </c:tx>
          <c:spPr>
            <a:solidFill>
              <a:schemeClr val="accent2"/>
            </a:solidFill>
            <a:ln>
              <a:noFill/>
            </a:ln>
            <a:effectLst/>
          </c:spPr>
          <c:invertIfNegative val="0"/>
          <c:cat>
            <c:strRef>
              <c:f>各设区市废气达标率环比同比!$A$5:$A$15</c:f>
              <c:strCache>
                <c:ptCount val="11"/>
                <c:pt idx="0">
                  <c:v>舟山</c:v>
                </c:pt>
                <c:pt idx="1">
                  <c:v>湖州</c:v>
                </c:pt>
                <c:pt idx="2">
                  <c:v>嘉兴</c:v>
                </c:pt>
                <c:pt idx="3">
                  <c:v>绍兴</c:v>
                </c:pt>
                <c:pt idx="4">
                  <c:v>杭州</c:v>
                </c:pt>
                <c:pt idx="5">
                  <c:v>宁波</c:v>
                </c:pt>
                <c:pt idx="6">
                  <c:v>温州</c:v>
                </c:pt>
                <c:pt idx="7">
                  <c:v>金华</c:v>
                </c:pt>
                <c:pt idx="8">
                  <c:v>衢州</c:v>
                </c:pt>
                <c:pt idx="9">
                  <c:v>丽水</c:v>
                </c:pt>
                <c:pt idx="10">
                  <c:v>台州</c:v>
                </c:pt>
              </c:strCache>
            </c:strRef>
          </c:cat>
          <c:val>
            <c:numRef>
              <c:f>各设区市废气达标率环比同比!$C$5:$C$15</c:f>
              <c:numCache>
                <c:formatCode>0_);[Red]\(0\)</c:formatCode>
                <c:ptCount val="11"/>
                <c:pt idx="0" formatCode="0.0_);[Red]\(0.0\)">
                  <c:v>96</c:v>
                </c:pt>
                <c:pt idx="1">
                  <c:v>98</c:v>
                </c:pt>
                <c:pt idx="2" formatCode="0.0_);[Red]\(0.0\)">
                  <c:v>98.8</c:v>
                </c:pt>
                <c:pt idx="3" formatCode="0.0_);[Red]\(0.0\)">
                  <c:v>99.6</c:v>
                </c:pt>
                <c:pt idx="4" formatCode="0.0_);[Red]\(0.0\)">
                  <c:v>99.6</c:v>
                </c:pt>
                <c:pt idx="5" formatCode="0.0_);[Red]\(0.0\)">
                  <c:v>100</c:v>
                </c:pt>
                <c:pt idx="6" formatCode="0.0_);[Red]\(0.0\)">
                  <c:v>100</c:v>
                </c:pt>
                <c:pt idx="7" formatCode="0.0_);[Red]\(0.0\)">
                  <c:v>100</c:v>
                </c:pt>
                <c:pt idx="8" formatCode="0.0_);[Red]\(0.0\)">
                  <c:v>98.5</c:v>
                </c:pt>
                <c:pt idx="9" formatCode="0.0_);[Red]\(0.0\)">
                  <c:v>100</c:v>
                </c:pt>
                <c:pt idx="10" formatCode="0.0_);[Red]\(0.0\)">
                  <c:v>99.9</c:v>
                </c:pt>
              </c:numCache>
            </c:numRef>
          </c:val>
          <c:extLst>
            <c:ext xmlns:c16="http://schemas.microsoft.com/office/drawing/2014/chart" uri="{C3380CC4-5D6E-409C-BE32-E72D297353CC}">
              <c16:uniqueId val="{00000001-8A47-4E90-8191-97DA9EFDDE9A}"/>
            </c:ext>
          </c:extLst>
        </c:ser>
        <c:dLbls>
          <c:showLegendKey val="0"/>
          <c:showVal val="0"/>
          <c:showCatName val="0"/>
          <c:showSerName val="0"/>
          <c:showPercent val="0"/>
          <c:showBubbleSize val="0"/>
        </c:dLbls>
        <c:gapWidth val="100"/>
        <c:overlap val="-15"/>
        <c:axId val="1167939503"/>
        <c:axId val="1167928271"/>
      </c:barChart>
      <c:barChart>
        <c:barDir val="col"/>
        <c:grouping val="clustered"/>
        <c:varyColors val="0"/>
        <c:ser>
          <c:idx val="2"/>
          <c:order val="2"/>
          <c:tx>
            <c:strRef>
              <c:f>各设区市废气达标率环比同比!$D$4</c:f>
              <c:strCache>
                <c:ptCount val="1"/>
              </c:strCache>
            </c:strRef>
          </c:tx>
          <c:spPr>
            <a:solidFill>
              <a:srgbClr val="FF0000"/>
            </a:solidFill>
            <a:ln>
              <a:noFill/>
            </a:ln>
            <a:effectLst/>
          </c:spPr>
          <c:invertIfNegative val="1"/>
          <c:dLbls>
            <c:dLbl>
              <c:idx val="1"/>
              <c:layout>
                <c:manualLayout>
                  <c:x val="0"/>
                  <c:y val="-3.5220125786163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A47-4E90-8191-97DA9EFDDE9A}"/>
                </c:ext>
              </c:extLst>
            </c:dLbl>
            <c:dLbl>
              <c:idx val="2"/>
              <c:layout>
                <c:manualLayout>
                  <c:x val="-4.6515993792664195E-17"/>
                  <c:y val="0.103542811865497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47-4E90-8191-97DA9EFDDE9A}"/>
                </c:ext>
              </c:extLst>
            </c:dLbl>
            <c:dLbl>
              <c:idx val="3"/>
              <c:layout>
                <c:manualLayout>
                  <c:x val="-4.6515993792664195E-17"/>
                  <c:y val="9.3479918783736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A47-4E90-8191-97DA9EFDDE9A}"/>
                </c:ext>
              </c:extLst>
            </c:dLbl>
            <c:dLbl>
              <c:idx val="4"/>
              <c:layout>
                <c:manualLayout>
                  <c:x val="-4.6515993792664195E-17"/>
                  <c:y val="9.3715247858168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A47-4E90-8191-97DA9EFDDE9A}"/>
                </c:ext>
              </c:extLst>
            </c:dLbl>
            <c:dLbl>
              <c:idx val="5"/>
              <c:tx>
                <c:rich>
                  <a:bodyPr/>
                  <a:lstStyle/>
                  <a:p>
                    <a:r>
                      <a:rPr lang="en-US" altLang="zh-CN"/>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F2-4731-8D41-2705D6DC6F81}"/>
                </c:ext>
              </c:extLst>
            </c:dLbl>
            <c:dLbl>
              <c:idx val="6"/>
              <c:tx>
                <c:rich>
                  <a:bodyPr/>
                  <a:lstStyle/>
                  <a:p>
                    <a:r>
                      <a:rPr lang="en-US" altLang="zh-CN"/>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F2-4731-8D41-2705D6DC6F81}"/>
                </c:ext>
              </c:extLst>
            </c:dLbl>
            <c:dLbl>
              <c:idx val="7"/>
              <c:tx>
                <c:rich>
                  <a:bodyPr/>
                  <a:lstStyle/>
                  <a:p>
                    <a:r>
                      <a:rPr lang="en-US" altLang="zh-CN"/>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6F2-4731-8D41-2705D6DC6F81}"/>
                </c:ext>
              </c:extLst>
            </c:dLbl>
            <c:dLbl>
              <c:idx val="8"/>
              <c:tx>
                <c:rich>
                  <a:bodyPr/>
                  <a:lstStyle/>
                  <a:p>
                    <a:r>
                      <a:rPr lang="en-US" altLang="zh-CN"/>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F2-4731-8D41-2705D6DC6F81}"/>
                </c:ext>
              </c:extLst>
            </c:dLbl>
            <c:dLbl>
              <c:idx val="9"/>
              <c:tx>
                <c:rich>
                  <a:bodyPr/>
                  <a:lstStyle/>
                  <a:p>
                    <a:r>
                      <a:rPr lang="en-US" altLang="zh-CN"/>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6F2-4731-8D41-2705D6DC6F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各设区市废气达标率环比同比!$A$5:$A$15</c:f>
              <c:strCache>
                <c:ptCount val="11"/>
                <c:pt idx="0">
                  <c:v>舟山</c:v>
                </c:pt>
                <c:pt idx="1">
                  <c:v>湖州</c:v>
                </c:pt>
                <c:pt idx="2">
                  <c:v>嘉兴</c:v>
                </c:pt>
                <c:pt idx="3">
                  <c:v>绍兴</c:v>
                </c:pt>
                <c:pt idx="4">
                  <c:v>杭州</c:v>
                </c:pt>
                <c:pt idx="5">
                  <c:v>宁波</c:v>
                </c:pt>
                <c:pt idx="6">
                  <c:v>温州</c:v>
                </c:pt>
                <c:pt idx="7">
                  <c:v>金华</c:v>
                </c:pt>
                <c:pt idx="8">
                  <c:v>衢州</c:v>
                </c:pt>
                <c:pt idx="9">
                  <c:v>丽水</c:v>
                </c:pt>
                <c:pt idx="10">
                  <c:v>台州</c:v>
                </c:pt>
              </c:strCache>
            </c:strRef>
          </c:cat>
          <c:val>
            <c:numRef>
              <c:f>各设区市废气达标率环比同比!$D$5:$D$15</c:f>
              <c:numCache>
                <c:formatCode>0.0_ </c:formatCode>
                <c:ptCount val="11"/>
                <c:pt idx="0">
                  <c:v>4</c:v>
                </c:pt>
                <c:pt idx="1">
                  <c:v>1.2999999999999972</c:v>
                </c:pt>
                <c:pt idx="2">
                  <c:v>1.2000000000000028</c:v>
                </c:pt>
                <c:pt idx="3">
                  <c:v>0.40000000000000568</c:v>
                </c:pt>
                <c:pt idx="4">
                  <c:v>0.30000000000001137</c:v>
                </c:pt>
                <c:pt idx="5">
                  <c:v>0</c:v>
                </c:pt>
                <c:pt idx="6">
                  <c:v>0</c:v>
                </c:pt>
                <c:pt idx="7">
                  <c:v>0</c:v>
                </c:pt>
                <c:pt idx="8">
                  <c:v>0</c:v>
                </c:pt>
                <c:pt idx="9">
                  <c:v>0</c:v>
                </c:pt>
                <c:pt idx="10">
                  <c:v>-1</c:v>
                </c:pt>
              </c:numCache>
            </c:numRef>
          </c:val>
          <c:extLst>
            <c:ext xmlns:c14="http://schemas.microsoft.com/office/drawing/2007/8/2/chart" uri="{6F2FDCE9-48DA-4B69-8628-5D25D57E5C99}">
              <c14:invertSolidFillFmt>
                <c14:spPr xmlns:c14="http://schemas.microsoft.com/office/drawing/2007/8/2/chart">
                  <a:solidFill>
                    <a:srgbClr val="92D050"/>
                  </a:solidFill>
                  <a:ln>
                    <a:noFill/>
                  </a:ln>
                  <a:effectLst/>
                </c14:spPr>
              </c14:invertSolidFillFmt>
            </c:ext>
            <c:ext xmlns:c16="http://schemas.microsoft.com/office/drawing/2014/chart" uri="{C3380CC4-5D6E-409C-BE32-E72D297353CC}">
              <c16:uniqueId val="{00000006-8A47-4E90-8191-97DA9EFDDE9A}"/>
            </c:ext>
          </c:extLst>
        </c:ser>
        <c:dLbls>
          <c:showLegendKey val="0"/>
          <c:showVal val="0"/>
          <c:showCatName val="0"/>
          <c:showSerName val="0"/>
          <c:showPercent val="0"/>
          <c:showBubbleSize val="0"/>
        </c:dLbls>
        <c:gapWidth val="219"/>
        <c:overlap val="-27"/>
        <c:axId val="1249918735"/>
        <c:axId val="1249924975"/>
      </c:barChart>
      <c:catAx>
        <c:axId val="1167939503"/>
        <c:scaling>
          <c:orientation val="minMax"/>
        </c:scaling>
        <c:delete val="0"/>
        <c:axPos val="b"/>
        <c:numFmt formatCode="General" sourceLinked="1"/>
        <c:majorTickMark val="in"/>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1167928271"/>
        <c:crosses val="autoZero"/>
        <c:auto val="1"/>
        <c:lblAlgn val="ctr"/>
        <c:lblOffset val="100"/>
        <c:noMultiLvlLbl val="0"/>
      </c:catAx>
      <c:valAx>
        <c:axId val="1167928271"/>
        <c:scaling>
          <c:orientation val="minMax"/>
          <c:max val="104"/>
          <c:min val="90"/>
        </c:scaling>
        <c:delete val="0"/>
        <c:axPos val="l"/>
        <c:numFmt formatCode="0_ " sourceLinked="0"/>
        <c:majorTickMark val="in"/>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67939503"/>
        <c:crosses val="autoZero"/>
        <c:crossBetween val="between"/>
        <c:majorUnit val="5"/>
      </c:valAx>
      <c:valAx>
        <c:axId val="1249924975"/>
        <c:scaling>
          <c:orientation val="minMax"/>
          <c:max val="5"/>
          <c:min val="-40"/>
        </c:scaling>
        <c:delete val="0"/>
        <c:axPos val="r"/>
        <c:numFmt formatCode="0_ "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249918735"/>
        <c:crosses val="max"/>
        <c:crossBetween val="between"/>
        <c:majorUnit val="10"/>
      </c:valAx>
      <c:catAx>
        <c:axId val="1249918735"/>
        <c:scaling>
          <c:orientation val="minMax"/>
        </c:scaling>
        <c:delete val="1"/>
        <c:axPos val="b"/>
        <c:numFmt formatCode="General" sourceLinked="1"/>
        <c:majorTickMark val="out"/>
        <c:minorTickMark val="none"/>
        <c:tickLblPos val="nextTo"/>
        <c:crossAx val="1249924975"/>
        <c:crosses val="autoZero"/>
        <c:auto val="1"/>
        <c:lblAlgn val="ctr"/>
        <c:lblOffset val="100"/>
        <c:noMultiLvlLbl val="0"/>
      </c:catAx>
      <c:spPr>
        <a:noFill/>
        <a:ln w="6350">
          <a:solidFill>
            <a:schemeClr val="tx1"/>
          </a:solidFill>
        </a:ln>
        <a:effectLst/>
      </c:spPr>
    </c:plotArea>
    <c:legend>
      <c:legendPos val="t"/>
      <c:legendEntry>
        <c:idx val="2"/>
        <c:delete val="1"/>
      </c:legendEntry>
      <c:layout>
        <c:manualLayout>
          <c:xMode val="edge"/>
          <c:yMode val="edge"/>
          <c:x val="0.40570961045499865"/>
          <c:y val="6.0377358490566038E-2"/>
          <c:w val="0.21902793169521889"/>
          <c:h val="7.982568216708760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lt1"/>
    </a:solidFill>
    <a:ln w="9525" cap="flat" cmpd="sng" algn="ctr">
      <a:noFill/>
      <a:round/>
    </a:ln>
    <a:effectLst/>
  </c:spPr>
  <c:txPr>
    <a:bodyPr/>
    <a:lstStyle/>
    <a:p>
      <a:pPr>
        <a:defRPr/>
      </a:pPr>
      <a:endParaRPr lang="zh-CN"/>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38773037985636"/>
          <c:y val="6.9069854862869318E-2"/>
          <c:w val="0.796685362959767"/>
          <c:h val="0.49196257318796688"/>
        </c:manualLayout>
      </c:layout>
      <c:barChart>
        <c:barDir val="col"/>
        <c:grouping val="clustered"/>
        <c:varyColors val="0"/>
        <c:ser>
          <c:idx val="0"/>
          <c:order val="0"/>
          <c:tx>
            <c:strRef>
              <c:f>'废气超标行业 (2)'!$B$2</c:f>
              <c:strCache>
                <c:ptCount val="1"/>
                <c:pt idx="0">
                  <c:v>超标企业数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'废气超标行业 (2)'!$A$3:$A$8</c:f>
              <c:strCache>
                <c:ptCount val="6"/>
                <c:pt idx="0">
                  <c:v>电力、热力生产和供应业</c:v>
                </c:pt>
                <c:pt idx="1">
                  <c:v>公共设施管理业</c:v>
                </c:pt>
                <c:pt idx="2">
                  <c:v>金属制品业 </c:v>
                </c:pt>
                <c:pt idx="3">
                  <c:v>医药制造业 </c:v>
                </c:pt>
                <c:pt idx="4">
                  <c:v>有色金属冶炼和压延加工业 </c:v>
                </c:pt>
                <c:pt idx="5">
                  <c:v>生态保护和环境治理业</c:v>
                </c:pt>
              </c:strCache>
            </c:strRef>
          </c:cat>
          <c:val>
            <c:numRef>
              <c:f>'废气超标行业 (2)'!$B$3:$B$8</c:f>
              <c:numCache>
                <c:formatCode>General</c:formatCode>
                <c:ptCount val="6"/>
                <c:pt idx="0">
                  <c:v>2</c:v>
                </c:pt>
                <c:pt idx="1">
                  <c:v>1</c:v>
                </c:pt>
                <c:pt idx="2">
                  <c:v>1</c:v>
                </c:pt>
                <c:pt idx="3">
                  <c:v>1</c:v>
                </c:pt>
                <c:pt idx="4">
                  <c:v>1</c:v>
                </c:pt>
                <c:pt idx="5">
                  <c:v>1</c:v>
                </c:pt>
              </c:numCache>
            </c:numRef>
          </c:val>
          <c:extLst>
            <c:ext xmlns:c16="http://schemas.microsoft.com/office/drawing/2014/chart" uri="{C3380CC4-5D6E-409C-BE32-E72D297353CC}">
              <c16:uniqueId val="{00000000-82ED-4FF5-A3D6-41CEE368F2B4}"/>
            </c:ext>
          </c:extLst>
        </c:ser>
        <c:dLbls>
          <c:showLegendKey val="0"/>
          <c:showVal val="0"/>
          <c:showCatName val="0"/>
          <c:showSerName val="0"/>
          <c:showPercent val="0"/>
          <c:showBubbleSize val="0"/>
        </c:dLbls>
        <c:gapWidth val="150"/>
        <c:overlap val="-27"/>
        <c:axId val="1846980848"/>
        <c:axId val="1846981680"/>
      </c:barChart>
      <c:catAx>
        <c:axId val="1846980848"/>
        <c:scaling>
          <c:orientation val="minMax"/>
        </c:scaling>
        <c:delete val="0"/>
        <c:axPos val="b"/>
        <c:numFmt formatCode="General" sourceLinked="1"/>
        <c:majorTickMark val="in"/>
        <c:minorTickMark val="none"/>
        <c:tickLblPos val="nextTo"/>
        <c:spPr>
          <a:noFill/>
          <a:ln w="6350"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zh-CN"/>
          </a:p>
        </c:txPr>
        <c:crossAx val="1846981680"/>
        <c:crosses val="autoZero"/>
        <c:auto val="1"/>
        <c:lblAlgn val="ctr"/>
        <c:lblOffset val="100"/>
        <c:noMultiLvlLbl val="0"/>
      </c:catAx>
      <c:valAx>
        <c:axId val="1846981680"/>
        <c:scaling>
          <c:orientation val="minMax"/>
        </c:scaling>
        <c:delete val="0"/>
        <c:axPos val="l"/>
        <c:numFmt formatCode="General" sourceLinked="1"/>
        <c:majorTickMark val="in"/>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46980848"/>
        <c:crosses val="autoZero"/>
        <c:crossBetween val="between"/>
      </c:valAx>
      <c:spPr>
        <a:noFill/>
        <a:ln w="6350">
          <a:solidFill>
            <a:schemeClr val="tx1"/>
          </a:solidFill>
        </a:ln>
        <a:effectLst/>
      </c:spPr>
    </c:plotArea>
    <c:legend>
      <c:legendPos val="r"/>
      <c:layout>
        <c:manualLayout>
          <c:xMode val="edge"/>
          <c:yMode val="edge"/>
          <c:x val="0.74213900893967188"/>
          <c:y val="0.12300248454372593"/>
          <c:w val="0.15259783316559114"/>
          <c:h val="6.83895145906183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3047951233529741"/>
          <c:y val="6.5930943133051867E-2"/>
          <c:w val="0.67436238128396631"/>
          <c:h val="0.82871003149210365"/>
        </c:manualLayout>
      </c:layout>
      <c:barChart>
        <c:barDir val="bar"/>
        <c:grouping val="stacked"/>
        <c:varyColors val="0"/>
        <c:ser>
          <c:idx val="0"/>
          <c:order val="0"/>
          <c:tx>
            <c:strRef>
              <c:f>废气超标因子!$B$7</c:f>
              <c:strCache>
                <c:ptCount val="1"/>
                <c:pt idx="0">
                  <c:v>超标个数</c:v>
                </c:pt>
              </c:strCache>
            </c:strRef>
          </c:tx>
          <c:spPr>
            <a:solidFill>
              <a:schemeClr val="accent3"/>
            </a:solidFill>
          </c:spPr>
          <c:invertIfNegative val="0"/>
          <c:dLbls>
            <c:spPr>
              <a:noFill/>
              <a:ln>
                <a:noFill/>
              </a:ln>
              <a:effectLst/>
            </c:spPr>
            <c:txPr>
              <a:bodyPr/>
              <a:lstStyle/>
              <a:p>
                <a:pPr>
                  <a:defRPr b="0" cap="none" spc="0" baseline="0">
                    <a:ln w="0"/>
                    <a:solidFill>
                      <a:sysClr val="windowText" lastClr="000000"/>
                    </a:solidFill>
                    <a:effectLst/>
                    <a:latin typeface="Times New Roman" panose="02020603050405020304" pitchFamily="18" charset="0"/>
                    <a:cs typeface="Times New Roman" panose="02020603050405020304" pitchFamily="18" charset="0"/>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废气超标因子!$A$8:$A$13</c:f>
              <c:strCache>
                <c:ptCount val="6"/>
                <c:pt idx="0">
                  <c:v>二噁英类</c:v>
                </c:pt>
                <c:pt idx="1">
                  <c:v>甲烷</c:v>
                </c:pt>
                <c:pt idx="2">
                  <c:v>铬酸雾</c:v>
                </c:pt>
                <c:pt idx="3">
                  <c:v>烟尘</c:v>
                </c:pt>
                <c:pt idx="4">
                  <c:v>非甲烷总烃</c:v>
                </c:pt>
                <c:pt idx="5">
                  <c:v>锑，砷，铅，铬，钴，铜，锰，镍及其化合物</c:v>
                </c:pt>
              </c:strCache>
            </c:strRef>
          </c:cat>
          <c:val>
            <c:numRef>
              <c:f>废气超标因子!$B$8:$B$13</c:f>
              <c:numCache>
                <c:formatCode>General</c:formatCode>
                <c:ptCount val="6"/>
                <c:pt idx="0">
                  <c:v>2</c:v>
                </c:pt>
                <c:pt idx="1">
                  <c:v>1</c:v>
                </c:pt>
                <c:pt idx="2">
                  <c:v>1</c:v>
                </c:pt>
                <c:pt idx="3">
                  <c:v>1</c:v>
                </c:pt>
                <c:pt idx="4">
                  <c:v>1</c:v>
                </c:pt>
                <c:pt idx="5">
                  <c:v>1</c:v>
                </c:pt>
              </c:numCache>
            </c:numRef>
          </c:val>
          <c:extLst>
            <c:ext xmlns:c16="http://schemas.microsoft.com/office/drawing/2014/chart" uri="{C3380CC4-5D6E-409C-BE32-E72D297353CC}">
              <c16:uniqueId val="{00000000-9864-429C-B368-60D91B7A3A8F}"/>
            </c:ext>
          </c:extLst>
        </c:ser>
        <c:dLbls>
          <c:showLegendKey val="0"/>
          <c:showVal val="0"/>
          <c:showCatName val="0"/>
          <c:showSerName val="0"/>
          <c:showPercent val="0"/>
          <c:showBubbleSize val="0"/>
        </c:dLbls>
        <c:gapWidth val="81"/>
        <c:overlap val="100"/>
        <c:axId val="155376640"/>
        <c:axId val="155452160"/>
      </c:barChart>
      <c:catAx>
        <c:axId val="155376640"/>
        <c:scaling>
          <c:orientation val="minMax"/>
        </c:scaling>
        <c:delete val="0"/>
        <c:axPos val="l"/>
        <c:numFmt formatCode="General" sourceLinked="0"/>
        <c:majorTickMark val="in"/>
        <c:minorTickMark val="none"/>
        <c:tickLblPos val="nextTo"/>
        <c:spPr>
          <a:ln w="6350">
            <a:solidFill>
              <a:schemeClr val="tx1"/>
            </a:solidFill>
          </a:ln>
        </c:spPr>
        <c:txPr>
          <a:bodyPr/>
          <a:lstStyle/>
          <a:p>
            <a:pPr>
              <a:defRPr baseline="0"/>
            </a:pPr>
            <a:endParaRPr lang="zh-CN"/>
          </a:p>
        </c:txPr>
        <c:crossAx val="155452160"/>
        <c:crosses val="autoZero"/>
        <c:auto val="1"/>
        <c:lblAlgn val="ctr"/>
        <c:lblOffset val="100"/>
        <c:noMultiLvlLbl val="0"/>
      </c:catAx>
      <c:valAx>
        <c:axId val="155452160"/>
        <c:scaling>
          <c:orientation val="minMax"/>
        </c:scaling>
        <c:delete val="0"/>
        <c:axPos val="b"/>
        <c:numFmt formatCode="General" sourceLinked="1"/>
        <c:majorTickMark val="in"/>
        <c:minorTickMark val="none"/>
        <c:tickLblPos val="nextTo"/>
        <c:spPr>
          <a:ln w="6350">
            <a:solidFill>
              <a:schemeClr val="tx1"/>
            </a:solidFill>
          </a:ln>
        </c:spPr>
        <c:txPr>
          <a:bodyPr/>
          <a:lstStyle/>
          <a:p>
            <a:pPr>
              <a:defRPr>
                <a:latin typeface="Times New Roman" panose="02020603050405020304" pitchFamily="18" charset="0"/>
                <a:cs typeface="Times New Roman" panose="02020603050405020304" pitchFamily="18" charset="0"/>
              </a:defRPr>
            </a:pPr>
            <a:endParaRPr lang="zh-CN"/>
          </a:p>
        </c:txPr>
        <c:crossAx val="155376640"/>
        <c:crosses val="autoZero"/>
        <c:crossBetween val="between"/>
        <c:majorUnit val="1"/>
      </c:valAx>
      <c:spPr>
        <a:noFill/>
        <a:ln w="6350">
          <a:solidFill>
            <a:schemeClr val="tx1"/>
          </a:solidFill>
        </a:ln>
      </c:spPr>
    </c:plotArea>
    <c:legend>
      <c:legendPos val="r"/>
      <c:layout>
        <c:manualLayout>
          <c:xMode val="edge"/>
          <c:yMode val="edge"/>
          <c:x val="0.80081523672943233"/>
          <c:y val="0.75491343536304456"/>
          <c:w val="0.11511153936587938"/>
          <c:h val="8.8933428775948467E-2"/>
        </c:manualLayout>
      </c:layout>
      <c:overlay val="0"/>
    </c:legend>
    <c:plotVisOnly val="1"/>
    <c:dispBlanksAs val="gap"/>
    <c:showDLblsOverMax val="0"/>
  </c:chart>
  <c:spPr>
    <a:noFill/>
    <a:ln>
      <a:noFill/>
    </a:ln>
  </c:spPr>
  <c:txPr>
    <a:bodyPr/>
    <a:lstStyle/>
    <a:p>
      <a:pPr>
        <a:defRPr sz="9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373762308911543E-2"/>
          <c:y val="0.2391622805709018"/>
          <c:w val="0.85919087374623637"/>
          <c:h val="0.64614602007363431"/>
        </c:manualLayout>
      </c:layout>
      <c:barChart>
        <c:barDir val="col"/>
        <c:grouping val="clustered"/>
        <c:varyColors val="0"/>
        <c:ser>
          <c:idx val="0"/>
          <c:order val="0"/>
          <c:tx>
            <c:strRef>
              <c:f>各设区市达标率环比同比!$B$4</c:f>
              <c:strCache>
                <c:ptCount val="1"/>
                <c:pt idx="0">
                  <c:v>2023年</c:v>
                </c:pt>
              </c:strCache>
            </c:strRef>
          </c:tx>
          <c:spPr>
            <a:solidFill>
              <a:schemeClr val="accent1"/>
            </a:solidFill>
            <a:ln>
              <a:noFill/>
            </a:ln>
            <a:effectLst/>
          </c:spPr>
          <c:invertIfNegative val="0"/>
          <c:cat>
            <c:strRef>
              <c:f>各设区市达标率环比同比!$A$5:$A$15</c:f>
              <c:strCache>
                <c:ptCount val="11"/>
                <c:pt idx="0">
                  <c:v>绍兴</c:v>
                </c:pt>
                <c:pt idx="1">
                  <c:v>舟山</c:v>
                </c:pt>
                <c:pt idx="2">
                  <c:v>湖州 </c:v>
                </c:pt>
                <c:pt idx="3">
                  <c:v>衢州</c:v>
                </c:pt>
                <c:pt idx="4">
                  <c:v>台州</c:v>
                </c:pt>
                <c:pt idx="5">
                  <c:v>宁波</c:v>
                </c:pt>
                <c:pt idx="6">
                  <c:v>温州</c:v>
                </c:pt>
                <c:pt idx="7">
                  <c:v>金华</c:v>
                </c:pt>
                <c:pt idx="8">
                  <c:v>丽水</c:v>
                </c:pt>
                <c:pt idx="9">
                  <c:v>杭州</c:v>
                </c:pt>
                <c:pt idx="10">
                  <c:v>嘉兴</c:v>
                </c:pt>
              </c:strCache>
            </c:strRef>
          </c:cat>
          <c:val>
            <c:numRef>
              <c:f>各设区市达标率环比同比!$B$5:$B$15</c:f>
              <c:numCache>
                <c:formatCode>General</c:formatCode>
                <c:ptCount val="11"/>
                <c:pt idx="0">
                  <c:v>98.4</c:v>
                </c:pt>
                <c:pt idx="1">
                  <c:v>100</c:v>
                </c:pt>
                <c:pt idx="2">
                  <c:v>99.6</c:v>
                </c:pt>
                <c:pt idx="3">
                  <c:v>98.4</c:v>
                </c:pt>
                <c:pt idx="4">
                  <c:v>98.5</c:v>
                </c:pt>
                <c:pt idx="5">
                  <c:v>100</c:v>
                </c:pt>
                <c:pt idx="6">
                  <c:v>99.6</c:v>
                </c:pt>
                <c:pt idx="7">
                  <c:v>100</c:v>
                </c:pt>
                <c:pt idx="8">
                  <c:v>100</c:v>
                </c:pt>
                <c:pt idx="9">
                  <c:v>98.3</c:v>
                </c:pt>
                <c:pt idx="10">
                  <c:v>98.6</c:v>
                </c:pt>
              </c:numCache>
            </c:numRef>
          </c:val>
          <c:extLst>
            <c:ext xmlns:c16="http://schemas.microsoft.com/office/drawing/2014/chart" uri="{C3380CC4-5D6E-409C-BE32-E72D297353CC}">
              <c16:uniqueId val="{00000000-C747-4B2F-A2B1-ADA952D48337}"/>
            </c:ext>
          </c:extLst>
        </c:ser>
        <c:ser>
          <c:idx val="1"/>
          <c:order val="1"/>
          <c:tx>
            <c:strRef>
              <c:f>各设区市达标率环比同比!$C$4</c:f>
              <c:strCache>
                <c:ptCount val="1"/>
                <c:pt idx="0">
                  <c:v>2022年</c:v>
                </c:pt>
              </c:strCache>
            </c:strRef>
          </c:tx>
          <c:spPr>
            <a:solidFill>
              <a:schemeClr val="accent2"/>
            </a:solidFill>
            <a:ln>
              <a:noFill/>
            </a:ln>
            <a:effectLst/>
          </c:spPr>
          <c:invertIfNegative val="0"/>
          <c:cat>
            <c:strRef>
              <c:f>各设区市达标率环比同比!$A$5:$A$15</c:f>
              <c:strCache>
                <c:ptCount val="11"/>
                <c:pt idx="0">
                  <c:v>绍兴</c:v>
                </c:pt>
                <c:pt idx="1">
                  <c:v>舟山</c:v>
                </c:pt>
                <c:pt idx="2">
                  <c:v>湖州 </c:v>
                </c:pt>
                <c:pt idx="3">
                  <c:v>衢州</c:v>
                </c:pt>
                <c:pt idx="4">
                  <c:v>台州</c:v>
                </c:pt>
                <c:pt idx="5">
                  <c:v>宁波</c:v>
                </c:pt>
                <c:pt idx="6">
                  <c:v>温州</c:v>
                </c:pt>
                <c:pt idx="7">
                  <c:v>金华</c:v>
                </c:pt>
                <c:pt idx="8">
                  <c:v>丽水</c:v>
                </c:pt>
                <c:pt idx="9">
                  <c:v>杭州</c:v>
                </c:pt>
                <c:pt idx="10">
                  <c:v>嘉兴</c:v>
                </c:pt>
              </c:strCache>
            </c:strRef>
          </c:cat>
          <c:val>
            <c:numRef>
              <c:f>各设区市达标率环比同比!$C$5:$C$15</c:f>
              <c:numCache>
                <c:formatCode>General</c:formatCode>
                <c:ptCount val="11"/>
                <c:pt idx="0">
                  <c:v>85.8</c:v>
                </c:pt>
                <c:pt idx="1">
                  <c:v>98.3</c:v>
                </c:pt>
                <c:pt idx="2">
                  <c:v>98</c:v>
                </c:pt>
                <c:pt idx="3">
                  <c:v>97.7</c:v>
                </c:pt>
                <c:pt idx="4">
                  <c:v>98.1</c:v>
                </c:pt>
                <c:pt idx="5">
                  <c:v>100</c:v>
                </c:pt>
                <c:pt idx="6">
                  <c:v>99.6</c:v>
                </c:pt>
                <c:pt idx="7">
                  <c:v>100</c:v>
                </c:pt>
                <c:pt idx="8">
                  <c:v>100</c:v>
                </c:pt>
                <c:pt idx="9">
                  <c:v>98.7</c:v>
                </c:pt>
                <c:pt idx="10">
                  <c:v>99.7</c:v>
                </c:pt>
              </c:numCache>
            </c:numRef>
          </c:val>
          <c:extLst>
            <c:ext xmlns:c16="http://schemas.microsoft.com/office/drawing/2014/chart" uri="{C3380CC4-5D6E-409C-BE32-E72D297353CC}">
              <c16:uniqueId val="{00000001-C747-4B2F-A2B1-ADA952D48337}"/>
            </c:ext>
          </c:extLst>
        </c:ser>
        <c:dLbls>
          <c:showLegendKey val="0"/>
          <c:showVal val="0"/>
          <c:showCatName val="0"/>
          <c:showSerName val="0"/>
          <c:showPercent val="0"/>
          <c:showBubbleSize val="0"/>
        </c:dLbls>
        <c:gapWidth val="100"/>
        <c:overlap val="-15"/>
        <c:axId val="1167939503"/>
        <c:axId val="1167928271"/>
      </c:barChart>
      <c:barChart>
        <c:barDir val="col"/>
        <c:grouping val="clustered"/>
        <c:varyColors val="0"/>
        <c:ser>
          <c:idx val="2"/>
          <c:order val="2"/>
          <c:tx>
            <c:strRef>
              <c:f>各设区市达标率环比同比!$D$4</c:f>
              <c:strCache>
                <c:ptCount val="1"/>
                <c:pt idx="0">
                  <c:v>改变值</c:v>
                </c:pt>
              </c:strCache>
            </c:strRef>
          </c:tx>
          <c:spPr>
            <a:solidFill>
              <a:srgbClr val="FF0000"/>
            </a:solidFill>
            <a:ln>
              <a:noFill/>
            </a:ln>
            <a:effectLst/>
          </c:spPr>
          <c:invertIfNegative val="1"/>
          <c:dLbls>
            <c:dLbl>
              <c:idx val="0"/>
              <c:layout>
                <c:manualLayout>
                  <c:x val="2.4308713774274259E-3"/>
                  <c:y val="-1.4565080773354036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47-4B2F-A2B1-ADA952D48337}"/>
                </c:ext>
              </c:extLst>
            </c:dLbl>
            <c:dLbl>
              <c:idx val="1"/>
              <c:layout>
                <c:manualLayout>
                  <c:x val="0"/>
                  <c:y val="1.7607112491220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47-4B2F-A2B1-ADA952D48337}"/>
                </c:ext>
              </c:extLst>
            </c:dLbl>
            <c:dLbl>
              <c:idx val="2"/>
              <c:layout>
                <c:manualLayout>
                  <c:x val="3.1871244002607127E-4"/>
                  <c:y val="1.5770211822113786E-2"/>
                </c:manualLayout>
              </c:layout>
              <c:tx>
                <c:rich>
                  <a:bodyPr/>
                  <a:lstStyle/>
                  <a:p>
                    <a:r>
                      <a:rPr lang="en-US" altLang="zh-CN"/>
                      <a:t>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747-4B2F-A2B1-ADA952D48337}"/>
                </c:ext>
              </c:extLst>
            </c:dLbl>
            <c:dLbl>
              <c:idx val="3"/>
              <c:layout>
                <c:manualLayout>
                  <c:x val="0"/>
                  <c:y val="6.3786921001072047E-3"/>
                </c:manualLayout>
              </c:layout>
              <c:tx>
                <c:rich>
                  <a:bodyPr/>
                  <a:lstStyle/>
                  <a:p>
                    <a:r>
                      <a:rPr lang="en-US" altLang="zh-CN"/>
                      <a:t>0.7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47-4B2F-A2B1-ADA952D48337}"/>
                </c:ext>
              </c:extLst>
            </c:dLbl>
            <c:dLbl>
              <c:idx val="4"/>
              <c:layout>
                <c:manualLayout>
                  <c:x val="2.5372572928200757E-3"/>
                  <c:y val="2.8135743595430851E-3"/>
                </c:manualLayout>
              </c:layout>
              <c:tx>
                <c:rich>
                  <a:bodyPr/>
                  <a:lstStyle/>
                  <a:p>
                    <a:r>
                      <a:rPr lang="en-US" altLang="zh-CN"/>
                      <a:t>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747-4B2F-A2B1-ADA952D48337}"/>
                </c:ext>
              </c:extLst>
            </c:dLbl>
            <c:dLbl>
              <c:idx val="5"/>
              <c:tx>
                <c:rich>
                  <a:bodyPr/>
                  <a:lstStyle/>
                  <a:p>
                    <a:r>
                      <a:rPr lang="en-US" altLang="zh-CN"/>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747-4B2F-A2B1-ADA952D48337}"/>
                </c:ext>
              </c:extLst>
            </c:dLbl>
            <c:dLbl>
              <c:idx val="6"/>
              <c:tx>
                <c:rich>
                  <a:bodyPr/>
                  <a:lstStyle/>
                  <a:p>
                    <a:r>
                      <a:rPr lang="en-US" altLang="zh-CN"/>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747-4B2F-A2B1-ADA952D48337}"/>
                </c:ext>
              </c:extLst>
            </c:dLbl>
            <c:dLbl>
              <c:idx val="7"/>
              <c:tx>
                <c:rich>
                  <a:bodyPr/>
                  <a:lstStyle/>
                  <a:p>
                    <a:r>
                      <a:rPr lang="en-US" altLang="zh-CN"/>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747-4B2F-A2B1-ADA952D48337}"/>
                </c:ext>
              </c:extLst>
            </c:dLbl>
            <c:dLbl>
              <c:idx val="8"/>
              <c:tx>
                <c:rich>
                  <a:bodyPr/>
                  <a:lstStyle/>
                  <a:p>
                    <a:r>
                      <a:rPr lang="en-US" altLang="zh-CN"/>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747-4B2F-A2B1-ADA952D48337}"/>
                </c:ext>
              </c:extLst>
            </c:dLbl>
            <c:dLbl>
              <c:idx val="9"/>
              <c:layout>
                <c:manualLayout>
                  <c:x val="2.4308713774274259E-3"/>
                  <c:y val="8.4507042253521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747-4B2F-A2B1-ADA952D48337}"/>
                </c:ext>
              </c:extLst>
            </c:dLbl>
            <c:dLbl>
              <c:idx val="10"/>
              <c:layout>
                <c:manualLayout>
                  <c:x val="0"/>
                  <c:y val="8.92022476063731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747-4B2F-A2B1-ADA952D483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各设区市达标率环比同比!$A$5:$A$15</c:f>
              <c:strCache>
                <c:ptCount val="11"/>
                <c:pt idx="0">
                  <c:v>绍兴</c:v>
                </c:pt>
                <c:pt idx="1">
                  <c:v>舟山</c:v>
                </c:pt>
                <c:pt idx="2">
                  <c:v>湖州 </c:v>
                </c:pt>
                <c:pt idx="3">
                  <c:v>衢州</c:v>
                </c:pt>
                <c:pt idx="4">
                  <c:v>台州</c:v>
                </c:pt>
                <c:pt idx="5">
                  <c:v>宁波</c:v>
                </c:pt>
                <c:pt idx="6">
                  <c:v>温州</c:v>
                </c:pt>
                <c:pt idx="7">
                  <c:v>金华</c:v>
                </c:pt>
                <c:pt idx="8">
                  <c:v>丽水</c:v>
                </c:pt>
                <c:pt idx="9">
                  <c:v>杭州</c:v>
                </c:pt>
                <c:pt idx="10">
                  <c:v>嘉兴</c:v>
                </c:pt>
              </c:strCache>
            </c:strRef>
          </c:cat>
          <c:val>
            <c:numRef>
              <c:f>各设区市达标率环比同比!$D$5:$D$15</c:f>
              <c:numCache>
                <c:formatCode>0.0_ </c:formatCode>
                <c:ptCount val="11"/>
                <c:pt idx="0">
                  <c:v>12.600000000000009</c:v>
                </c:pt>
                <c:pt idx="1">
                  <c:v>1.7000000000000028</c:v>
                </c:pt>
                <c:pt idx="2">
                  <c:v>1.5999999999999943</c:v>
                </c:pt>
                <c:pt idx="3">
                  <c:v>0.70000000000000284</c:v>
                </c:pt>
                <c:pt idx="4">
                  <c:v>0.40000000000000568</c:v>
                </c:pt>
                <c:pt idx="5">
                  <c:v>0</c:v>
                </c:pt>
                <c:pt idx="6">
                  <c:v>0</c:v>
                </c:pt>
                <c:pt idx="7">
                  <c:v>0</c:v>
                </c:pt>
                <c:pt idx="8">
                  <c:v>0</c:v>
                </c:pt>
                <c:pt idx="9">
                  <c:v>-0.40000000000000568</c:v>
                </c:pt>
                <c:pt idx="10">
                  <c:v>-1.1000000000000085</c:v>
                </c:pt>
              </c:numCache>
            </c:numRef>
          </c:val>
          <c:extLst>
            <c:ext xmlns:c14="http://schemas.microsoft.com/office/drawing/2007/8/2/chart" uri="{6F2FDCE9-48DA-4B69-8628-5D25D57E5C99}">
              <c14:invertSolidFillFmt>
                <c14:spPr xmlns:c14="http://schemas.microsoft.com/office/drawing/2007/8/2/chart">
                  <a:solidFill>
                    <a:srgbClr val="92D050"/>
                  </a:solidFill>
                  <a:ln>
                    <a:noFill/>
                  </a:ln>
                  <a:effectLst/>
                </c14:spPr>
              </c14:invertSolidFillFmt>
            </c:ext>
            <c:ext xmlns:c16="http://schemas.microsoft.com/office/drawing/2014/chart" uri="{C3380CC4-5D6E-409C-BE32-E72D297353CC}">
              <c16:uniqueId val="{0000000D-C747-4B2F-A2B1-ADA952D48337}"/>
            </c:ext>
          </c:extLst>
        </c:ser>
        <c:dLbls>
          <c:showLegendKey val="0"/>
          <c:showVal val="0"/>
          <c:showCatName val="0"/>
          <c:showSerName val="0"/>
          <c:showPercent val="0"/>
          <c:showBubbleSize val="0"/>
        </c:dLbls>
        <c:gapWidth val="219"/>
        <c:overlap val="-27"/>
        <c:axId val="1249918735"/>
        <c:axId val="1249924975"/>
      </c:barChart>
      <c:catAx>
        <c:axId val="1167939503"/>
        <c:scaling>
          <c:orientation val="minMax"/>
        </c:scaling>
        <c:delete val="0"/>
        <c:axPos val="b"/>
        <c:numFmt formatCode="General" sourceLinked="1"/>
        <c:majorTickMark val="in"/>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1167928271"/>
        <c:crosses val="autoZero"/>
        <c:auto val="1"/>
        <c:lblAlgn val="ctr"/>
        <c:lblOffset val="100"/>
        <c:noMultiLvlLbl val="0"/>
      </c:catAx>
      <c:valAx>
        <c:axId val="1167928271"/>
        <c:scaling>
          <c:orientation val="minMax"/>
          <c:max val="104"/>
          <c:min val="85"/>
        </c:scaling>
        <c:delete val="0"/>
        <c:axPos val="l"/>
        <c:numFmt formatCode="0_ " sourceLinked="0"/>
        <c:majorTickMark val="in"/>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67939503"/>
        <c:crosses val="autoZero"/>
        <c:crossBetween val="between"/>
        <c:majorUnit val="5"/>
      </c:valAx>
      <c:valAx>
        <c:axId val="1249924975"/>
        <c:scaling>
          <c:orientation val="minMax"/>
          <c:max val="14"/>
          <c:min val="-60"/>
        </c:scaling>
        <c:delete val="0"/>
        <c:axPos val="r"/>
        <c:numFmt formatCode="0_ "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249918735"/>
        <c:crosses val="max"/>
        <c:crossBetween val="between"/>
      </c:valAx>
      <c:catAx>
        <c:axId val="1249918735"/>
        <c:scaling>
          <c:orientation val="minMax"/>
        </c:scaling>
        <c:delete val="1"/>
        <c:axPos val="b"/>
        <c:numFmt formatCode="General" sourceLinked="1"/>
        <c:majorTickMark val="out"/>
        <c:minorTickMark val="none"/>
        <c:tickLblPos val="nextTo"/>
        <c:crossAx val="1249924975"/>
        <c:crosses val="autoZero"/>
        <c:auto val="1"/>
        <c:lblAlgn val="ctr"/>
        <c:lblOffset val="100"/>
        <c:noMultiLvlLbl val="0"/>
      </c:catAx>
      <c:spPr>
        <a:noFill/>
        <a:ln w="6350">
          <a:solidFill>
            <a:schemeClr val="tx1"/>
          </a:solidFill>
        </a:ln>
        <a:effectLst/>
      </c:spPr>
    </c:plotArea>
    <c:legend>
      <c:legendPos val="t"/>
      <c:legendEntry>
        <c:idx val="2"/>
        <c:delete val="1"/>
      </c:legendEntry>
      <c:layout>
        <c:manualLayout>
          <c:xMode val="edge"/>
          <c:yMode val="edge"/>
          <c:x val="0.39048593426005446"/>
          <c:y val="2.0125786163522012E-2"/>
          <c:w val="0.21902793169521889"/>
          <c:h val="7.982568216708760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lt1"/>
    </a:solidFill>
    <a:ln w="9525" cap="flat" cmpd="sng" algn="ctr">
      <a:noFill/>
      <a:round/>
    </a:ln>
    <a:effectLst/>
  </c:spPr>
  <c:txPr>
    <a:bodyPr/>
    <a:lstStyle/>
    <a:p>
      <a:pPr>
        <a:defRPr/>
      </a:pPr>
      <a:endParaRPr lang="zh-CN"/>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373762308911543E-2"/>
          <c:y val="0.15900705886726224"/>
          <c:w val="0.87468845056688349"/>
          <c:h val="0.42012752958232269"/>
        </c:manualLayout>
      </c:layout>
      <c:barChart>
        <c:barDir val="col"/>
        <c:grouping val="clustered"/>
        <c:varyColors val="0"/>
        <c:ser>
          <c:idx val="0"/>
          <c:order val="0"/>
          <c:tx>
            <c:strRef>
              <c:f>'各设区市行业达标率环比同比 (2)'!$B$4</c:f>
              <c:strCache>
                <c:ptCount val="1"/>
                <c:pt idx="0">
                  <c:v>2023年</c:v>
                </c:pt>
              </c:strCache>
            </c:strRef>
          </c:tx>
          <c:spPr>
            <a:solidFill>
              <a:schemeClr val="accent1"/>
            </a:solidFill>
            <a:ln>
              <a:noFill/>
            </a:ln>
            <a:effectLst/>
          </c:spPr>
          <c:invertIfNegative val="0"/>
          <c:cat>
            <c:strRef>
              <c:f>'各设区市行业达标率环比同比 (2)'!$A$5:$A$16</c:f>
              <c:strCache>
                <c:ptCount val="12"/>
                <c:pt idx="0">
                  <c:v>纺织业</c:v>
                </c:pt>
                <c:pt idx="1">
                  <c:v>医药制造业 </c:v>
                </c:pt>
                <c:pt idx="2">
                  <c:v>生态保护和环境治理业</c:v>
                </c:pt>
                <c:pt idx="3">
                  <c:v>公共设施管理业</c:v>
                </c:pt>
                <c:pt idx="4">
                  <c:v>造纸和纸制品业 </c:v>
                </c:pt>
                <c:pt idx="5">
                  <c:v>卫生</c:v>
                </c:pt>
                <c:pt idx="6">
                  <c:v>皮革、毛皮、羽毛及其制品和制鞋业</c:v>
                </c:pt>
                <c:pt idx="7">
                  <c:v>汽车制造业</c:v>
                </c:pt>
                <c:pt idx="8">
                  <c:v>化学原料和化学制品制造业</c:v>
                </c:pt>
                <c:pt idx="9">
                  <c:v>农副食品加工业</c:v>
                </c:pt>
                <c:pt idx="10">
                  <c:v>金属制品业 </c:v>
                </c:pt>
                <c:pt idx="11">
                  <c:v>电力、热力生产和供应业</c:v>
                </c:pt>
              </c:strCache>
            </c:strRef>
          </c:cat>
          <c:val>
            <c:numRef>
              <c:f>'各设区市行业达标率环比同比 (2)'!$B$5:$B$16</c:f>
              <c:numCache>
                <c:formatCode>General</c:formatCode>
                <c:ptCount val="12"/>
                <c:pt idx="0">
                  <c:v>98.347107438016522</c:v>
                </c:pt>
                <c:pt idx="1">
                  <c:v>100</c:v>
                </c:pt>
                <c:pt idx="2">
                  <c:v>99.290851063829791</c:v>
                </c:pt>
                <c:pt idx="3">
                  <c:v>100</c:v>
                </c:pt>
                <c:pt idx="4">
                  <c:v>100</c:v>
                </c:pt>
                <c:pt idx="5">
                  <c:v>100</c:v>
                </c:pt>
                <c:pt idx="6">
                  <c:v>100</c:v>
                </c:pt>
                <c:pt idx="7">
                  <c:v>100</c:v>
                </c:pt>
                <c:pt idx="8">
                  <c:v>99.606299212598429</c:v>
                </c:pt>
                <c:pt idx="9">
                  <c:v>98.990000000000009</c:v>
                </c:pt>
                <c:pt idx="10">
                  <c:v>99.51549833887043</c:v>
                </c:pt>
                <c:pt idx="11">
                  <c:v>96.451612903225808</c:v>
                </c:pt>
              </c:numCache>
            </c:numRef>
          </c:val>
          <c:extLst>
            <c:ext xmlns:c16="http://schemas.microsoft.com/office/drawing/2014/chart" uri="{C3380CC4-5D6E-409C-BE32-E72D297353CC}">
              <c16:uniqueId val="{00000000-9CED-45FE-B842-E5EE4D2256AE}"/>
            </c:ext>
          </c:extLst>
        </c:ser>
        <c:ser>
          <c:idx val="1"/>
          <c:order val="1"/>
          <c:tx>
            <c:strRef>
              <c:f>'各设区市行业达标率环比同比 (2)'!$C$4</c:f>
              <c:strCache>
                <c:ptCount val="1"/>
                <c:pt idx="0">
                  <c:v>2022年</c:v>
                </c:pt>
              </c:strCache>
            </c:strRef>
          </c:tx>
          <c:spPr>
            <a:solidFill>
              <a:schemeClr val="accent2"/>
            </a:solidFill>
            <a:ln>
              <a:noFill/>
            </a:ln>
            <a:effectLst/>
          </c:spPr>
          <c:invertIfNegative val="0"/>
          <c:cat>
            <c:strRef>
              <c:f>'各设区市行业达标率环比同比 (2)'!$A$5:$A$16</c:f>
              <c:strCache>
                <c:ptCount val="12"/>
                <c:pt idx="0">
                  <c:v>纺织业</c:v>
                </c:pt>
                <c:pt idx="1">
                  <c:v>医药制造业 </c:v>
                </c:pt>
                <c:pt idx="2">
                  <c:v>生态保护和环境治理业</c:v>
                </c:pt>
                <c:pt idx="3">
                  <c:v>公共设施管理业</c:v>
                </c:pt>
                <c:pt idx="4">
                  <c:v>造纸和纸制品业 </c:v>
                </c:pt>
                <c:pt idx="5">
                  <c:v>卫生</c:v>
                </c:pt>
                <c:pt idx="6">
                  <c:v>皮革、毛皮、羽毛及其制品和制鞋业</c:v>
                </c:pt>
                <c:pt idx="7">
                  <c:v>汽车制造业</c:v>
                </c:pt>
                <c:pt idx="8">
                  <c:v>化学原料和化学制品制造业</c:v>
                </c:pt>
                <c:pt idx="9">
                  <c:v>农副食品加工业</c:v>
                </c:pt>
                <c:pt idx="10">
                  <c:v>金属制品业 </c:v>
                </c:pt>
                <c:pt idx="11">
                  <c:v>电力、热力生产和供应业</c:v>
                </c:pt>
              </c:strCache>
            </c:strRef>
          </c:cat>
          <c:val>
            <c:numRef>
              <c:f>'各设区市行业达标率环比同比 (2)'!$C$5:$C$16</c:f>
              <c:numCache>
                <c:formatCode>0.0_ </c:formatCode>
                <c:ptCount val="12"/>
                <c:pt idx="0">
                  <c:v>85.8</c:v>
                </c:pt>
                <c:pt idx="1">
                  <c:v>98.4</c:v>
                </c:pt>
                <c:pt idx="2">
                  <c:v>99.2</c:v>
                </c:pt>
                <c:pt idx="3" formatCode="General">
                  <c:v>100</c:v>
                </c:pt>
                <c:pt idx="4">
                  <c:v>100</c:v>
                </c:pt>
                <c:pt idx="5">
                  <c:v>100</c:v>
                </c:pt>
                <c:pt idx="6" formatCode="General">
                  <c:v>100</c:v>
                </c:pt>
                <c:pt idx="7">
                  <c:v>100</c:v>
                </c:pt>
                <c:pt idx="8">
                  <c:v>99.8</c:v>
                </c:pt>
                <c:pt idx="9">
                  <c:v>99.3</c:v>
                </c:pt>
                <c:pt idx="10">
                  <c:v>99.9</c:v>
                </c:pt>
                <c:pt idx="11">
                  <c:v>100</c:v>
                </c:pt>
              </c:numCache>
            </c:numRef>
          </c:val>
          <c:extLst>
            <c:ext xmlns:c16="http://schemas.microsoft.com/office/drawing/2014/chart" uri="{C3380CC4-5D6E-409C-BE32-E72D297353CC}">
              <c16:uniqueId val="{00000001-9CED-45FE-B842-E5EE4D2256AE}"/>
            </c:ext>
          </c:extLst>
        </c:ser>
        <c:dLbls>
          <c:showLegendKey val="0"/>
          <c:showVal val="0"/>
          <c:showCatName val="0"/>
          <c:showSerName val="0"/>
          <c:showPercent val="0"/>
          <c:showBubbleSize val="0"/>
        </c:dLbls>
        <c:gapWidth val="100"/>
        <c:overlap val="-15"/>
        <c:axId val="1167939503"/>
        <c:axId val="1167928271"/>
      </c:barChart>
      <c:barChart>
        <c:barDir val="col"/>
        <c:grouping val="clustered"/>
        <c:varyColors val="0"/>
        <c:ser>
          <c:idx val="2"/>
          <c:order val="2"/>
          <c:tx>
            <c:strRef>
              <c:f>'各设区市行业达标率环比同比 (2)'!$D$4</c:f>
              <c:strCache>
                <c:ptCount val="1"/>
              </c:strCache>
            </c:strRef>
          </c:tx>
          <c:spPr>
            <a:solidFill>
              <a:srgbClr val="FF0000"/>
            </a:solidFill>
            <a:ln>
              <a:noFill/>
            </a:ln>
            <a:effectLst/>
          </c:spPr>
          <c:invertIfNegative val="1"/>
          <c:dLbls>
            <c:dLbl>
              <c:idx val="0"/>
              <c:layout>
                <c:manualLayout>
                  <c:x val="-1.3078301645569701E-3"/>
                  <c:y val="1.0362960650069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ED-45FE-B842-E5EE4D2256AE}"/>
                </c:ext>
              </c:extLst>
            </c:dLbl>
            <c:dLbl>
              <c:idx val="1"/>
              <c:layout>
                <c:manualLayout>
                  <c:x val="0"/>
                  <c:y val="8.21308565564354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ED-45FE-B842-E5EE4D2256AE}"/>
                </c:ext>
              </c:extLst>
            </c:dLbl>
            <c:dLbl>
              <c:idx val="2"/>
              <c:layout>
                <c:manualLayout>
                  <c:x val="1.3078301645569582E-3"/>
                  <c:y val="7.39885091110064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ED-45FE-B842-E5EE4D2256AE}"/>
                </c:ext>
              </c:extLst>
            </c:dLbl>
            <c:dLbl>
              <c:idx val="3"/>
              <c:layout>
                <c:manualLayout>
                  <c:x val="1.2350430672447709E-3"/>
                  <c:y val="2.3393964980477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ED-45FE-B842-E5EE4D2256AE}"/>
                </c:ext>
              </c:extLst>
            </c:dLbl>
            <c:dLbl>
              <c:idx val="4"/>
              <c:layout>
                <c:manualLayout>
                  <c:x val="-8.8288569937629612E-17"/>
                  <c:y val="2.3520352823878807E-2"/>
                </c:manualLayout>
              </c:layout>
              <c:tx>
                <c:rich>
                  <a:bodyPr/>
                  <a:lstStyle/>
                  <a:p>
                    <a:r>
                      <a:rPr lang="en-US" altLang="zh-CN"/>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CED-45FE-B842-E5EE4D2256AE}"/>
                </c:ext>
              </c:extLst>
            </c:dLbl>
            <c:dLbl>
              <c:idx val="5"/>
              <c:layout>
                <c:manualLayout>
                  <c:x val="5.0219711236660393E-3"/>
                  <c:y val="2.4343732450742596E-2"/>
                </c:manualLayout>
              </c:layout>
              <c:tx>
                <c:rich>
                  <a:bodyPr/>
                  <a:lstStyle/>
                  <a:p>
                    <a:r>
                      <a:rPr lang="en-US" altLang="zh-CN"/>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CED-45FE-B842-E5EE4D2256AE}"/>
                </c:ext>
              </c:extLst>
            </c:dLbl>
            <c:dLbl>
              <c:idx val="6"/>
              <c:layout>
                <c:manualLayout>
                  <c:x val="3.9234904936708741E-3"/>
                  <c:y val="2.7633836435974904E-2"/>
                </c:manualLayout>
              </c:layout>
              <c:tx>
                <c:rich>
                  <a:bodyPr/>
                  <a:lstStyle/>
                  <a:p>
                    <a:r>
                      <a:rPr lang="en-US" altLang="zh-CN"/>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CED-45FE-B842-E5EE4D2256AE}"/>
                </c:ext>
              </c:extLst>
            </c:dLbl>
            <c:dLbl>
              <c:idx val="7"/>
              <c:layout>
                <c:manualLayout>
                  <c:x val="-9.5906437481493794E-17"/>
                  <c:y val="3.1088065990471765E-2"/>
                </c:manualLayout>
              </c:layout>
              <c:tx>
                <c:rich>
                  <a:bodyPr/>
                  <a:lstStyle/>
                  <a:p>
                    <a:r>
                      <a:rPr lang="en-US" altLang="zh-CN"/>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CED-45FE-B842-E5EE4D2256AE}"/>
                </c:ext>
              </c:extLst>
            </c:dLbl>
            <c:dLbl>
              <c:idx val="8"/>
              <c:layout>
                <c:manualLayout>
                  <c:x val="1.3078301645569582E-3"/>
                  <c:y val="5.1813987290611131E-2"/>
                </c:manualLayout>
              </c:layout>
              <c:tx>
                <c:rich>
                  <a:bodyPr/>
                  <a:lstStyle/>
                  <a:p>
                    <a:r>
                      <a:rPr lang="en-US" altLang="zh-CN"/>
                      <a:t>-0.2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CED-45FE-B842-E5EE4D2256AE}"/>
                </c:ext>
              </c:extLst>
            </c:dLbl>
            <c:dLbl>
              <c:idx val="9"/>
              <c:layout>
                <c:manualLayout>
                  <c:x val="-9.206840701844966E-17"/>
                  <c:y val="5.51040376402115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CED-45FE-B842-E5EE4D2256AE}"/>
                </c:ext>
              </c:extLst>
            </c:dLbl>
            <c:dLbl>
              <c:idx val="10"/>
              <c:layout>
                <c:manualLayout>
                  <c:x val="-9.206840701844966E-17"/>
                  <c:y val="5.84761502687733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CED-45FE-B842-E5EE4D2256AE}"/>
                </c:ext>
              </c:extLst>
            </c:dLbl>
            <c:dLbl>
              <c:idx val="11"/>
              <c:layout>
                <c:manualLayout>
                  <c:x val="0"/>
                  <c:y val="6.9084591089937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CED-45FE-B842-E5EE4D2256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'各设区市行业达标率环比同比 (2)'!$A$5:$A$14</c:f>
              <c:strCache>
                <c:ptCount val="10"/>
                <c:pt idx="0">
                  <c:v>纺织业</c:v>
                </c:pt>
                <c:pt idx="1">
                  <c:v>医药制造业 </c:v>
                </c:pt>
                <c:pt idx="2">
                  <c:v>生态保护和环境治理业</c:v>
                </c:pt>
                <c:pt idx="3">
                  <c:v>公共设施管理业</c:v>
                </c:pt>
                <c:pt idx="4">
                  <c:v>造纸和纸制品业 </c:v>
                </c:pt>
                <c:pt idx="5">
                  <c:v>卫生</c:v>
                </c:pt>
                <c:pt idx="6">
                  <c:v>皮革、毛皮、羽毛及其制品和制鞋业</c:v>
                </c:pt>
                <c:pt idx="7">
                  <c:v>汽车制造业</c:v>
                </c:pt>
                <c:pt idx="8">
                  <c:v>化学原料和化学制品制造业</c:v>
                </c:pt>
                <c:pt idx="9">
                  <c:v>农副食品加工业</c:v>
                </c:pt>
              </c:strCache>
            </c:strRef>
          </c:cat>
          <c:val>
            <c:numRef>
              <c:f>'各设区市行业达标率环比同比 (2)'!$D$5:$D$16</c:f>
              <c:numCache>
                <c:formatCode>0.0_ </c:formatCode>
                <c:ptCount val="12"/>
                <c:pt idx="0">
                  <c:v>12.547107438016525</c:v>
                </c:pt>
                <c:pt idx="1">
                  <c:v>1.5999999999999943</c:v>
                </c:pt>
                <c:pt idx="2">
                  <c:v>9.0851063829788359E-2</c:v>
                </c:pt>
                <c:pt idx="3" formatCode="0_ ">
                  <c:v>0</c:v>
                </c:pt>
                <c:pt idx="4" formatCode="0_ ">
                  <c:v>0</c:v>
                </c:pt>
                <c:pt idx="5" formatCode="0_ ">
                  <c:v>0</c:v>
                </c:pt>
                <c:pt idx="6" formatCode="0_ ">
                  <c:v>0</c:v>
                </c:pt>
                <c:pt idx="7" formatCode="0_ ">
                  <c:v>0</c:v>
                </c:pt>
                <c:pt idx="8">
                  <c:v>-0.19370078740156771</c:v>
                </c:pt>
                <c:pt idx="9">
                  <c:v>-0.30999999999998806</c:v>
                </c:pt>
                <c:pt idx="10">
                  <c:v>-0.38450166112957618</c:v>
                </c:pt>
                <c:pt idx="11">
                  <c:v>-3.5483870967741922</c:v>
                </c:pt>
              </c:numCache>
            </c:numRef>
          </c:val>
          <c:extLst>
            <c:ext xmlns:c14="http://schemas.microsoft.com/office/drawing/2007/8/2/chart" uri="{6F2FDCE9-48DA-4B69-8628-5D25D57E5C99}">
              <c14:invertSolidFillFmt>
                <c14:spPr xmlns:c14="http://schemas.microsoft.com/office/drawing/2007/8/2/chart">
                  <a:solidFill>
                    <a:srgbClr val="92D050"/>
                  </a:solidFill>
                  <a:ln>
                    <a:noFill/>
                  </a:ln>
                  <a:effectLst/>
                </c14:spPr>
              </c14:invertSolidFillFmt>
            </c:ext>
            <c:ext xmlns:c16="http://schemas.microsoft.com/office/drawing/2014/chart" uri="{C3380CC4-5D6E-409C-BE32-E72D297353CC}">
              <c16:uniqueId val="{0000000E-9CED-45FE-B842-E5EE4D2256AE}"/>
            </c:ext>
          </c:extLst>
        </c:ser>
        <c:dLbls>
          <c:showLegendKey val="0"/>
          <c:showVal val="0"/>
          <c:showCatName val="0"/>
          <c:showSerName val="0"/>
          <c:showPercent val="0"/>
          <c:showBubbleSize val="0"/>
        </c:dLbls>
        <c:gapWidth val="219"/>
        <c:overlap val="-27"/>
        <c:axId val="1249918735"/>
        <c:axId val="1249924975"/>
      </c:barChart>
      <c:catAx>
        <c:axId val="1167939503"/>
        <c:scaling>
          <c:orientation val="minMax"/>
        </c:scaling>
        <c:delete val="0"/>
        <c:axPos val="b"/>
        <c:numFmt formatCode="General" sourceLinked="1"/>
        <c:majorTickMark val="in"/>
        <c:minorTickMark val="none"/>
        <c:tickLblPos val="nextTo"/>
        <c:spPr>
          <a:noFill/>
          <a:ln w="6350"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zh-CN"/>
          </a:p>
        </c:txPr>
        <c:crossAx val="1167928271"/>
        <c:crosses val="autoZero"/>
        <c:auto val="1"/>
        <c:lblAlgn val="ctr"/>
        <c:lblOffset val="100"/>
        <c:noMultiLvlLbl val="0"/>
      </c:catAx>
      <c:valAx>
        <c:axId val="1167928271"/>
        <c:scaling>
          <c:orientation val="minMax"/>
          <c:max val="104"/>
          <c:min val="85"/>
        </c:scaling>
        <c:delete val="0"/>
        <c:axPos val="l"/>
        <c:numFmt formatCode="0_ " sourceLinked="0"/>
        <c:majorTickMark val="in"/>
        <c:minorTickMark val="in"/>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67939503"/>
        <c:crosses val="autoZero"/>
        <c:crossBetween val="between"/>
        <c:majorUnit val="5"/>
        <c:minorUnit val="5"/>
      </c:valAx>
      <c:valAx>
        <c:axId val="1249924975"/>
        <c:scaling>
          <c:orientation val="minMax"/>
          <c:max val="14"/>
          <c:min val="-80"/>
        </c:scaling>
        <c:delete val="0"/>
        <c:axPos val="r"/>
        <c:numFmt formatCode="0_ "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249918735"/>
        <c:crosses val="max"/>
        <c:crossBetween val="between"/>
        <c:majorUnit val="20"/>
      </c:valAx>
      <c:catAx>
        <c:axId val="1249918735"/>
        <c:scaling>
          <c:orientation val="minMax"/>
        </c:scaling>
        <c:delete val="1"/>
        <c:axPos val="b"/>
        <c:numFmt formatCode="General" sourceLinked="1"/>
        <c:majorTickMark val="out"/>
        <c:minorTickMark val="none"/>
        <c:tickLblPos val="nextTo"/>
        <c:crossAx val="1249924975"/>
        <c:crosses val="autoZero"/>
        <c:auto val="1"/>
        <c:lblAlgn val="ctr"/>
        <c:lblOffset val="100"/>
        <c:noMultiLvlLbl val="0"/>
      </c:catAx>
      <c:spPr>
        <a:noFill/>
        <a:ln w="6350">
          <a:solidFill>
            <a:schemeClr val="tx1"/>
          </a:solid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lt1"/>
    </a:solidFill>
    <a:ln w="9525" cap="flat" cmpd="sng" algn="ctr">
      <a:noFill/>
      <a:round/>
    </a:ln>
    <a:effectLst/>
  </c:spPr>
  <c:txPr>
    <a:bodyPr/>
    <a:lstStyle/>
    <a:p>
      <a:pPr>
        <a:defRPr/>
      </a:pPr>
      <a:endParaRPr lang="zh-CN"/>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762240246285006E-2"/>
          <c:y val="6.9069854862869318E-2"/>
          <c:w val="0.86053361750833779"/>
          <c:h val="0.49969132379579312"/>
        </c:manualLayout>
      </c:layout>
      <c:barChart>
        <c:barDir val="col"/>
        <c:grouping val="clustered"/>
        <c:varyColors val="0"/>
        <c:ser>
          <c:idx val="0"/>
          <c:order val="0"/>
          <c:tx>
            <c:strRef>
              <c:f>废水超标行业!$B$2</c:f>
              <c:strCache>
                <c:ptCount val="1"/>
                <c:pt idx="0">
                  <c:v>超标企业数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废水超标行业!$A$3:$A$10</c:f>
              <c:strCache>
                <c:ptCount val="8"/>
                <c:pt idx="0">
                  <c:v>纺织业</c:v>
                </c:pt>
                <c:pt idx="1">
                  <c:v>金属制品业 </c:v>
                </c:pt>
                <c:pt idx="2">
                  <c:v>电力、热力生产和供应业</c:v>
                </c:pt>
                <c:pt idx="3">
                  <c:v>畜牧业</c:v>
                </c:pt>
                <c:pt idx="4">
                  <c:v>食品制造业</c:v>
                </c:pt>
                <c:pt idx="5">
                  <c:v>农副食品加工业</c:v>
                </c:pt>
                <c:pt idx="6">
                  <c:v>生态保护和环境治理业</c:v>
                </c:pt>
                <c:pt idx="7">
                  <c:v>化学原料和化学制品制造业</c:v>
                </c:pt>
              </c:strCache>
            </c:strRef>
          </c:cat>
          <c:val>
            <c:numRef>
              <c:f>废水超标行业!$B$3:$B$10</c:f>
              <c:numCache>
                <c:formatCode>General</c:formatCode>
                <c:ptCount val="8"/>
                <c:pt idx="0">
                  <c:v>6</c:v>
                </c:pt>
                <c:pt idx="1">
                  <c:v>5</c:v>
                </c:pt>
                <c:pt idx="2">
                  <c:v>3</c:v>
                </c:pt>
                <c:pt idx="3">
                  <c:v>3</c:v>
                </c:pt>
                <c:pt idx="4">
                  <c:v>1</c:v>
                </c:pt>
                <c:pt idx="5">
                  <c:v>1</c:v>
                </c:pt>
                <c:pt idx="6">
                  <c:v>1</c:v>
                </c:pt>
                <c:pt idx="7">
                  <c:v>1</c:v>
                </c:pt>
              </c:numCache>
            </c:numRef>
          </c:val>
          <c:extLst>
            <c:ext xmlns:c16="http://schemas.microsoft.com/office/drawing/2014/chart" uri="{C3380CC4-5D6E-409C-BE32-E72D297353CC}">
              <c16:uniqueId val="{00000000-5B42-415D-B16D-6519C35CEDE1}"/>
            </c:ext>
          </c:extLst>
        </c:ser>
        <c:dLbls>
          <c:showLegendKey val="0"/>
          <c:showVal val="0"/>
          <c:showCatName val="0"/>
          <c:showSerName val="0"/>
          <c:showPercent val="0"/>
          <c:showBubbleSize val="0"/>
        </c:dLbls>
        <c:gapWidth val="150"/>
        <c:overlap val="-27"/>
        <c:axId val="1846980848"/>
        <c:axId val="1846981680"/>
      </c:barChart>
      <c:catAx>
        <c:axId val="1846980848"/>
        <c:scaling>
          <c:orientation val="minMax"/>
        </c:scaling>
        <c:delete val="0"/>
        <c:axPos val="b"/>
        <c:numFmt formatCode="General" sourceLinked="1"/>
        <c:majorTickMark val="in"/>
        <c:minorTickMark val="none"/>
        <c:tickLblPos val="nextTo"/>
        <c:spPr>
          <a:noFill/>
          <a:ln w="6350"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zh-CN"/>
          </a:p>
        </c:txPr>
        <c:crossAx val="1846981680"/>
        <c:crosses val="autoZero"/>
        <c:auto val="1"/>
        <c:lblAlgn val="ctr"/>
        <c:lblOffset val="100"/>
        <c:noMultiLvlLbl val="0"/>
      </c:catAx>
      <c:valAx>
        <c:axId val="1846981680"/>
        <c:scaling>
          <c:orientation val="minMax"/>
          <c:max val="8"/>
        </c:scaling>
        <c:delete val="0"/>
        <c:axPos val="l"/>
        <c:numFmt formatCode="General" sourceLinked="1"/>
        <c:majorTickMark val="in"/>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46980848"/>
        <c:crosses val="autoZero"/>
        <c:crossBetween val="between"/>
      </c:valAx>
      <c:spPr>
        <a:noFill/>
        <a:ln w="6350">
          <a:solidFill>
            <a:schemeClr val="tx1"/>
          </a:solidFill>
        </a:ln>
        <a:effectLst/>
      </c:spPr>
    </c:plotArea>
    <c:legend>
      <c:legendPos val="r"/>
      <c:layout>
        <c:manualLayout>
          <c:xMode val="edge"/>
          <c:yMode val="edge"/>
          <c:x val="0.55166281846348153"/>
          <c:y val="0.13966568870411769"/>
          <c:w val="0.15259783316559114"/>
          <c:h val="6.83895145906183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574293815683248"/>
          <c:y val="5.5131300895080421E-2"/>
          <c:w val="0.75673290838645169"/>
          <c:h val="0.79136038764385219"/>
        </c:manualLayout>
      </c:layout>
      <c:barChart>
        <c:barDir val="bar"/>
        <c:grouping val="stacked"/>
        <c:varyColors val="0"/>
        <c:ser>
          <c:idx val="0"/>
          <c:order val="0"/>
          <c:tx>
            <c:strRef>
              <c:f>废水超标因子!$B$7</c:f>
              <c:strCache>
                <c:ptCount val="1"/>
                <c:pt idx="0">
                  <c:v>超标个数</c:v>
                </c:pt>
              </c:strCache>
            </c:strRef>
          </c:tx>
          <c:spPr>
            <a:solidFill>
              <a:schemeClr val="accent3"/>
            </a:solidFill>
          </c:spPr>
          <c:invertIfNegative val="0"/>
          <c:dLbls>
            <c:dLbl>
              <c:idx val="11"/>
              <c:layout>
                <c:manualLayout>
                  <c:x val="5.5468646529681025E-2"/>
                  <c:y val="-6.820218901208777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91-4355-8DBA-AC9B6172FEF5}"/>
                </c:ext>
              </c:extLst>
            </c:dLbl>
            <c:dLbl>
              <c:idx val="12"/>
              <c:layout>
                <c:manualLayout>
                  <c:x val="5.427415495714969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91-4355-8DBA-AC9B6172FEF5}"/>
                </c:ext>
              </c:extLst>
            </c:dLbl>
            <c:spPr>
              <a:noFill/>
              <a:ln>
                <a:noFill/>
              </a:ln>
              <a:effectLst/>
            </c:spPr>
            <c:txPr>
              <a:bodyPr wrap="square" lIns="38100" tIns="19050" rIns="38100" bIns="19050" anchor="ctr">
                <a:spAutoFit/>
              </a:bodyPr>
              <a:lstStyle/>
              <a:p>
                <a:pPr>
                  <a:defRPr baseline="0">
                    <a:effectLst/>
                    <a:latin typeface="Times New Roman" panose="02020603050405020304" pitchFamily="18" charset="0"/>
                    <a:cs typeface="Times New Roman" panose="02020603050405020304" pitchFamily="18" charset="0"/>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废水超标因子!$A$8:$A$22</c:f>
              <c:strCache>
                <c:ptCount val="15"/>
                <c:pt idx="0">
                  <c:v>化学需氧量</c:v>
                </c:pt>
                <c:pt idx="1">
                  <c:v>总氮（以N计）</c:v>
                </c:pt>
                <c:pt idx="2">
                  <c:v>总锑</c:v>
                </c:pt>
                <c:pt idx="3">
                  <c:v>pH值</c:v>
                </c:pt>
                <c:pt idx="4">
                  <c:v>苯胺类</c:v>
                </c:pt>
                <c:pt idx="5">
                  <c:v>总磷（以P计）</c:v>
                </c:pt>
                <c:pt idx="6">
                  <c:v>氨氮</c:v>
                </c:pt>
                <c:pt idx="7">
                  <c:v>粪大肠菌群数</c:v>
                </c:pt>
                <c:pt idx="8">
                  <c:v>色度</c:v>
                </c:pt>
                <c:pt idx="9">
                  <c:v>总铬</c:v>
                </c:pt>
                <c:pt idx="10">
                  <c:v>可吸附有机卤化物</c:v>
                </c:pt>
                <c:pt idx="11">
                  <c:v>悬浮物</c:v>
                </c:pt>
                <c:pt idx="12">
                  <c:v>总铁</c:v>
                </c:pt>
                <c:pt idx="13">
                  <c:v>总锌</c:v>
                </c:pt>
                <c:pt idx="14">
                  <c:v>总余氯</c:v>
                </c:pt>
              </c:strCache>
            </c:strRef>
          </c:cat>
          <c:val>
            <c:numRef>
              <c:f>废水超标因子!$B$8:$B$22</c:f>
              <c:numCache>
                <c:formatCode>General</c:formatCode>
                <c:ptCount val="15"/>
                <c:pt idx="0">
                  <c:v>4</c:v>
                </c:pt>
                <c:pt idx="1">
                  <c:v>4</c:v>
                </c:pt>
                <c:pt idx="2">
                  <c:v>4</c:v>
                </c:pt>
                <c:pt idx="3">
                  <c:v>3</c:v>
                </c:pt>
                <c:pt idx="4">
                  <c:v>3</c:v>
                </c:pt>
                <c:pt idx="5">
                  <c:v>3</c:v>
                </c:pt>
                <c:pt idx="6">
                  <c:v>2</c:v>
                </c:pt>
                <c:pt idx="7">
                  <c:v>2</c:v>
                </c:pt>
                <c:pt idx="8">
                  <c:v>2</c:v>
                </c:pt>
                <c:pt idx="9">
                  <c:v>2</c:v>
                </c:pt>
                <c:pt idx="10">
                  <c:v>1</c:v>
                </c:pt>
                <c:pt idx="11">
                  <c:v>1</c:v>
                </c:pt>
                <c:pt idx="12">
                  <c:v>1</c:v>
                </c:pt>
                <c:pt idx="13">
                  <c:v>1</c:v>
                </c:pt>
                <c:pt idx="14">
                  <c:v>1</c:v>
                </c:pt>
              </c:numCache>
            </c:numRef>
          </c:val>
          <c:extLst>
            <c:ext xmlns:c16="http://schemas.microsoft.com/office/drawing/2014/chart" uri="{C3380CC4-5D6E-409C-BE32-E72D297353CC}">
              <c16:uniqueId val="{00000001-B791-4355-8DBA-AC9B6172FEF5}"/>
            </c:ext>
          </c:extLst>
        </c:ser>
        <c:dLbls>
          <c:showLegendKey val="0"/>
          <c:showVal val="0"/>
          <c:showCatName val="0"/>
          <c:showSerName val="0"/>
          <c:showPercent val="0"/>
          <c:showBubbleSize val="0"/>
        </c:dLbls>
        <c:gapWidth val="81"/>
        <c:overlap val="100"/>
        <c:axId val="155376640"/>
        <c:axId val="155452160"/>
      </c:barChart>
      <c:catAx>
        <c:axId val="155376640"/>
        <c:scaling>
          <c:orientation val="minMax"/>
        </c:scaling>
        <c:delete val="0"/>
        <c:axPos val="l"/>
        <c:numFmt formatCode="General" sourceLinked="0"/>
        <c:majorTickMark val="in"/>
        <c:minorTickMark val="none"/>
        <c:tickLblPos val="nextTo"/>
        <c:spPr>
          <a:ln w="6350">
            <a:solidFill>
              <a:sysClr val="windowText" lastClr="000000"/>
            </a:solidFill>
          </a:ln>
        </c:spPr>
        <c:txPr>
          <a:bodyPr rot="-60000" vert="horz" anchor="t" anchorCtr="0"/>
          <a:lstStyle/>
          <a:p>
            <a:pPr>
              <a:defRPr sz="1050" baseline="0"/>
            </a:pPr>
            <a:endParaRPr lang="zh-CN"/>
          </a:p>
        </c:txPr>
        <c:crossAx val="155452160"/>
        <c:crosses val="autoZero"/>
        <c:auto val="1"/>
        <c:lblAlgn val="ctr"/>
        <c:lblOffset val="100"/>
        <c:noMultiLvlLbl val="0"/>
      </c:catAx>
      <c:valAx>
        <c:axId val="155452160"/>
        <c:scaling>
          <c:orientation val="minMax"/>
          <c:max val="5"/>
          <c:min val="0"/>
        </c:scaling>
        <c:delete val="0"/>
        <c:axPos val="b"/>
        <c:numFmt formatCode="General" sourceLinked="1"/>
        <c:majorTickMark val="in"/>
        <c:minorTickMark val="none"/>
        <c:tickLblPos val="nextTo"/>
        <c:spPr>
          <a:ln w="6350">
            <a:solidFill>
              <a:sysClr val="windowText" lastClr="000000"/>
            </a:solidFill>
          </a:ln>
        </c:spPr>
        <c:txPr>
          <a:bodyPr/>
          <a:lstStyle/>
          <a:p>
            <a:pPr>
              <a:defRPr>
                <a:latin typeface="Times New Roman" panose="02020603050405020304" pitchFamily="18" charset="0"/>
                <a:cs typeface="Times New Roman" panose="02020603050405020304" pitchFamily="18" charset="0"/>
              </a:defRPr>
            </a:pPr>
            <a:endParaRPr lang="zh-CN"/>
          </a:p>
        </c:txPr>
        <c:crossAx val="155376640"/>
        <c:crosses val="autoZero"/>
        <c:crossBetween val="between"/>
        <c:majorUnit val="1"/>
      </c:valAx>
      <c:spPr>
        <a:noFill/>
        <a:ln w="6350">
          <a:solidFill>
            <a:sysClr val="windowText" lastClr="000000"/>
          </a:solidFill>
        </a:ln>
      </c:spPr>
    </c:plotArea>
    <c:legend>
      <c:legendPos val="r"/>
      <c:layout>
        <c:manualLayout>
          <c:xMode val="edge"/>
          <c:yMode val="edge"/>
          <c:x val="0.81894638170228717"/>
          <c:y val="0.69986091944692486"/>
          <c:w val="0.15456732729020481"/>
          <c:h val="0.14579853921247779"/>
        </c:manualLayout>
      </c:layout>
      <c:overlay val="0"/>
      <c:txPr>
        <a:bodyPr/>
        <a:lstStyle/>
        <a:p>
          <a:pPr>
            <a:defRPr baseline="0">
              <a:solidFill>
                <a:sysClr val="windowText" lastClr="000000"/>
              </a:solidFill>
            </a:defRPr>
          </a:pPr>
          <a:endParaRPr lang="zh-CN"/>
        </a:p>
      </c:txPr>
    </c:legend>
    <c:plotVisOnly val="1"/>
    <c:dispBlanksAs val="gap"/>
    <c:showDLblsOverMax val="0"/>
  </c:chart>
  <c:spPr>
    <a:noFill/>
    <a:ln>
      <a:noFill/>
    </a:ln>
  </c:spPr>
  <c:txPr>
    <a:bodyPr/>
    <a:lstStyle/>
    <a:p>
      <a:pPr>
        <a:defRPr sz="900"/>
      </a:pPr>
      <a:endParaRPr lang="zh-CN"/>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33752133442336"/>
          <c:y val="4.5971429143876093E-2"/>
          <c:w val="0.69545818300090012"/>
          <c:h val="0.95402876640419942"/>
        </c:manualLayout>
      </c:layout>
      <c:doughnutChart>
        <c:varyColors val="1"/>
        <c:ser>
          <c:idx val="0"/>
          <c:order val="0"/>
          <c:tx>
            <c:strRef>
              <c:f>圆饼图!$C$11</c:f>
              <c:strCache>
                <c:ptCount val="1"/>
                <c:pt idx="0">
                  <c:v>处理水量（万吨/日）</c:v>
                </c:pt>
              </c:strCache>
            </c:strRef>
          </c:tx>
          <c:spPr>
            <a:solidFill>
              <a:schemeClr val="accent6"/>
            </a:solidFill>
          </c:spPr>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10C-4626-863A-78D04340892E}"/>
              </c:ext>
            </c:extLst>
          </c:dPt>
          <c:dPt>
            <c:idx val="1"/>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3-410C-4626-863A-78D04340892E}"/>
              </c:ext>
            </c:extLst>
          </c:dPt>
          <c:dLbls>
            <c:dLbl>
              <c:idx val="0"/>
              <c:layout>
                <c:manualLayout>
                  <c:x val="-6.0241820672158913E-2"/>
                  <c:y val="-0.11449337351349601"/>
                </c:manualLayout>
              </c:layout>
              <c:tx>
                <c:rich>
                  <a:bodyPr/>
                  <a:lstStyle/>
                  <a:p>
                    <a:fld id="{9B8661F9-8AC2-4660-ADB6-DD0EED8C11BC}" type="VALUE">
                      <a:rPr lang="en-US" altLang="zh-CN" sz="1050"/>
                      <a:pPr/>
                      <a:t>[值]</a:t>
                    </a:fld>
                    <a:r>
                      <a:rPr lang="zh-CN" altLang="en-US" sz="1050"/>
                      <a:t>万吨</a:t>
                    </a:r>
                    <a:r>
                      <a:rPr lang="en-US" altLang="zh-CN" sz="1050"/>
                      <a:t>/</a:t>
                    </a:r>
                    <a:r>
                      <a:rPr lang="zh-CN" altLang="en-US" sz="1050"/>
                      <a:t>日</a:t>
                    </a:r>
                  </a:p>
                </c:rich>
              </c:tx>
              <c:showLegendKey val="0"/>
              <c:showVal val="1"/>
              <c:showCatName val="0"/>
              <c:showSerName val="0"/>
              <c:showPercent val="0"/>
              <c:showBubbleSize val="0"/>
              <c:extLst>
                <c:ext xmlns:c15="http://schemas.microsoft.com/office/drawing/2012/chart" uri="{CE6537A1-D6FC-4f65-9D91-7224C49458BB}">
                  <c15:layout>
                    <c:manualLayout>
                      <c:w val="0.26006841689775922"/>
                      <c:h val="0.1662551440329218"/>
                    </c:manualLayout>
                  </c15:layout>
                  <c15:dlblFieldTable/>
                  <c15:showDataLabelsRange val="0"/>
                </c:ext>
                <c:ext xmlns:c16="http://schemas.microsoft.com/office/drawing/2014/chart" uri="{C3380CC4-5D6E-409C-BE32-E72D297353CC}">
                  <c16:uniqueId val="{00000001-410C-4626-863A-78D04340892E}"/>
                </c:ext>
              </c:extLst>
            </c:dLbl>
            <c:dLbl>
              <c:idx val="1"/>
              <c:layout>
                <c:manualLayout>
                  <c:x val="0.12586774423359845"/>
                  <c:y val="0.15877350404786789"/>
                </c:manualLayout>
              </c:layout>
              <c:tx>
                <c:rich>
                  <a:bodyPr rot="0" spcFirstLastPara="1" vertOverflow="ellipsis" vert="horz" wrap="square" lIns="38100" tIns="19050" rIns="38100" bIns="19050" anchor="ctr" anchorCtr="1">
                    <a:no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fld id="{0491EA19-F497-48B7-B975-B32690570702}" type="VALUE">
                      <a:rPr lang="en-US" altLang="zh-CN"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pPr>
                        <a:defRPr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defRPr>
                      </a:pPr>
                      <a:t>[值]</a:t>
                    </a:fld>
                    <a:r>
                      <a:rPr lang="zh-CN" altLang="en-US"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万吨</a:t>
                    </a:r>
                    <a:r>
                      <a:rPr lang="en-US" altLang="zh-CN"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a:t>
                    </a:r>
                    <a:r>
                      <a:rPr lang="zh-CN" altLang="en-US"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日</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extLst>
                <c:ext xmlns:c15="http://schemas.microsoft.com/office/drawing/2012/chart" uri="{CE6537A1-D6FC-4f65-9D91-7224C49458BB}">
                  <c15:layout>
                    <c:manualLayout>
                      <c:w val="0.23708083843280031"/>
                      <c:h val="0.1187270341207349"/>
                    </c:manualLayout>
                  </c15:layout>
                  <c15:dlblFieldTable/>
                  <c15:showDataLabelsRange val="0"/>
                </c:ext>
                <c:ext xmlns:c16="http://schemas.microsoft.com/office/drawing/2014/chart" uri="{C3380CC4-5D6E-409C-BE32-E72D297353CC}">
                  <c16:uniqueId val="{00000003-410C-4626-863A-78D0434089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圆饼图!$B$12:$B$13</c:f>
              <c:strCache>
                <c:ptCount val="2"/>
                <c:pt idx="0">
                  <c:v>城镇</c:v>
                </c:pt>
                <c:pt idx="1">
                  <c:v>工业</c:v>
                </c:pt>
              </c:strCache>
            </c:strRef>
          </c:cat>
          <c:val>
            <c:numRef>
              <c:f>圆饼图!$C$12:$C$13</c:f>
              <c:numCache>
                <c:formatCode>General</c:formatCode>
                <c:ptCount val="2"/>
                <c:pt idx="0">
                  <c:v>1386.8</c:v>
                </c:pt>
                <c:pt idx="1">
                  <c:v>106.2</c:v>
                </c:pt>
              </c:numCache>
            </c:numRef>
          </c:val>
          <c:extLst>
            <c:ext xmlns:c16="http://schemas.microsoft.com/office/drawing/2014/chart" uri="{C3380CC4-5D6E-409C-BE32-E72D297353CC}">
              <c16:uniqueId val="{00000004-410C-4626-863A-78D04340892E}"/>
            </c:ext>
          </c:extLst>
        </c:ser>
        <c:ser>
          <c:idx val="1"/>
          <c:order val="1"/>
          <c:tx>
            <c:strRef>
              <c:f>圆饼图!$D$11</c:f>
              <c:strCache>
                <c:ptCount val="1"/>
                <c:pt idx="0">
                  <c:v>污水厂数</c:v>
                </c:pt>
              </c:strCache>
            </c:strRef>
          </c:tx>
          <c:spPr>
            <a:solidFill>
              <a:schemeClr val="accent6"/>
            </a:solidFill>
          </c:spPr>
          <c:dPt>
            <c:idx val="0"/>
            <c:bubble3D val="0"/>
            <c:spPr>
              <a:solidFill>
                <a:schemeClr val="accent6"/>
              </a:solidFill>
              <a:ln w="19050">
                <a:solidFill>
                  <a:schemeClr val="lt1"/>
                </a:solidFill>
              </a:ln>
              <a:effectLst/>
            </c:spPr>
            <c:extLst>
              <c:ext xmlns:c16="http://schemas.microsoft.com/office/drawing/2014/chart" uri="{C3380CC4-5D6E-409C-BE32-E72D297353CC}">
                <c16:uniqueId val="{00000006-410C-4626-863A-78D04340892E}"/>
              </c:ext>
            </c:extLst>
          </c:dPt>
          <c:dPt>
            <c:idx val="1"/>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8-410C-4626-863A-78D04340892E}"/>
              </c:ext>
            </c:extLst>
          </c:dPt>
          <c:dLbls>
            <c:dLbl>
              <c:idx val="0"/>
              <c:layout>
                <c:manualLayout>
                  <c:x val="0.16522361502512842"/>
                  <c:y val="2.3381178304831525E-3"/>
                </c:manualLayout>
              </c:layout>
              <c:tx>
                <c:rich>
                  <a:bodyPr rot="0" spcFirstLastPara="1" vertOverflow="ellipsis" vert="horz" wrap="square" lIns="38100" tIns="19050" rIns="38100" bIns="19050" anchor="ctr" anchorCtr="1">
                    <a:no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fld id="{A4D38CE0-FBBD-4120-B99B-548490B1D47C}" type="VALUE">
                      <a:rPr lang="en-US" altLang="zh-CN"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pPr>
                        <a:defRPr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defRPr>
                      </a:pPr>
                      <a:t>[值]</a:t>
                    </a:fld>
                    <a:r>
                      <a:rPr lang="zh-CN" altLang="en-US"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家</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extLst>
                <c:ext xmlns:c15="http://schemas.microsoft.com/office/drawing/2012/chart" uri="{CE6537A1-D6FC-4f65-9D91-7224C49458BB}">
                  <c15:layout>
                    <c:manualLayout>
                      <c:w val="0.16664682981465359"/>
                      <c:h val="0.10066340472872989"/>
                    </c:manualLayout>
                  </c15:layout>
                  <c15:dlblFieldTable/>
                  <c15:showDataLabelsRange val="0"/>
                </c:ext>
                <c:ext xmlns:c16="http://schemas.microsoft.com/office/drawing/2014/chart" uri="{C3380CC4-5D6E-409C-BE32-E72D297353CC}">
                  <c16:uniqueId val="{00000006-410C-4626-863A-78D04340892E}"/>
                </c:ext>
              </c:extLst>
            </c:dLbl>
            <c:dLbl>
              <c:idx val="1"/>
              <c:layout>
                <c:manualLayout>
                  <c:x val="-9.3426730638229635E-2"/>
                  <c:y val="-4.1407853993950541E-2"/>
                </c:manualLayout>
              </c:layout>
              <c:tx>
                <c:rich>
                  <a:bodyPr/>
                  <a:lstStyle/>
                  <a:p>
                    <a:fld id="{37F4C98C-BA21-41CF-8ED8-CDFA9B54037B}" type="VALUE">
                      <a:rPr lang="en-US" altLang="zh-CN" sz="1050"/>
                      <a:pPr/>
                      <a:t>[值]</a:t>
                    </a:fld>
                    <a:r>
                      <a:rPr lang="zh-CN" altLang="en-US" sz="1050"/>
                      <a:t>家</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410C-4626-863A-78D0434089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圆饼图!$B$12:$B$13</c:f>
              <c:strCache>
                <c:ptCount val="2"/>
                <c:pt idx="0">
                  <c:v>城镇</c:v>
                </c:pt>
                <c:pt idx="1">
                  <c:v>工业</c:v>
                </c:pt>
              </c:strCache>
            </c:strRef>
          </c:cat>
          <c:val>
            <c:numRef>
              <c:f>圆饼图!$D$12:$D$13</c:f>
              <c:numCache>
                <c:formatCode>General</c:formatCode>
                <c:ptCount val="2"/>
                <c:pt idx="0">
                  <c:v>343</c:v>
                </c:pt>
                <c:pt idx="1">
                  <c:v>43</c:v>
                </c:pt>
              </c:numCache>
            </c:numRef>
          </c:val>
          <c:extLst>
            <c:ext xmlns:c16="http://schemas.microsoft.com/office/drawing/2014/chart" uri="{C3380CC4-5D6E-409C-BE32-E72D297353CC}">
              <c16:uniqueId val="{00000009-410C-4626-863A-78D04340892E}"/>
            </c:ext>
          </c:extLst>
        </c:ser>
        <c:dLbls>
          <c:showLegendKey val="0"/>
          <c:showVal val="0"/>
          <c:showCatName val="0"/>
          <c:showSerName val="0"/>
          <c:showPercent val="0"/>
          <c:showBubbleSize val="0"/>
          <c:showLeaderLines val="1"/>
        </c:dLbls>
        <c:firstSliceAng val="0"/>
        <c:holeSize val="69"/>
      </c:doughnutChart>
      <c:spPr>
        <a:noFill/>
        <a:ln>
          <a:noFill/>
        </a:ln>
        <a:effectLst/>
      </c:spPr>
    </c:plotArea>
    <c:legend>
      <c:legendPos val="b"/>
      <c:layout>
        <c:manualLayout>
          <c:xMode val="edge"/>
          <c:yMode val="edge"/>
          <c:x val="0.11172253094298375"/>
          <c:y val="0.28183239176887276"/>
          <c:w val="0.10978443268361947"/>
          <c:h val="0.35248500187476567"/>
        </c:manualLayout>
      </c:layout>
      <c:overlay val="0"/>
      <c:spPr>
        <a:noFill/>
        <a:ln>
          <a:no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373762308911543E-2"/>
          <c:y val="0.2391622805709018"/>
          <c:w val="0.85919087374623637"/>
          <c:h val="0.64614602007363431"/>
        </c:manualLayout>
      </c:layout>
      <c:barChart>
        <c:barDir val="col"/>
        <c:grouping val="clustered"/>
        <c:varyColors val="0"/>
        <c:ser>
          <c:idx val="0"/>
          <c:order val="0"/>
          <c:tx>
            <c:strRef>
              <c:f>各设区市达标率环比同比!$B$4</c:f>
              <c:strCache>
                <c:ptCount val="1"/>
                <c:pt idx="0">
                  <c:v>2023年</c:v>
                </c:pt>
              </c:strCache>
            </c:strRef>
          </c:tx>
          <c:spPr>
            <a:solidFill>
              <a:schemeClr val="accent1"/>
            </a:solidFill>
            <a:ln>
              <a:noFill/>
            </a:ln>
            <a:effectLst/>
          </c:spPr>
          <c:invertIfNegative val="0"/>
          <c:cat>
            <c:strRef>
              <c:f>各设区市达标率环比同比!$A$5:$A$15</c:f>
              <c:strCache>
                <c:ptCount val="11"/>
                <c:pt idx="0">
                  <c:v>嘉兴</c:v>
                </c:pt>
                <c:pt idx="1">
                  <c:v>湖州</c:v>
                </c:pt>
                <c:pt idx="2">
                  <c:v>舟山</c:v>
                </c:pt>
                <c:pt idx="3">
                  <c:v>台州</c:v>
                </c:pt>
                <c:pt idx="4">
                  <c:v>绍兴</c:v>
                </c:pt>
                <c:pt idx="5">
                  <c:v>衢州</c:v>
                </c:pt>
                <c:pt idx="6">
                  <c:v>宁波</c:v>
                </c:pt>
                <c:pt idx="7">
                  <c:v>丽水</c:v>
                </c:pt>
                <c:pt idx="8">
                  <c:v>金华</c:v>
                </c:pt>
                <c:pt idx="9">
                  <c:v>杭州</c:v>
                </c:pt>
                <c:pt idx="10">
                  <c:v>温州</c:v>
                </c:pt>
              </c:strCache>
            </c:strRef>
          </c:cat>
          <c:val>
            <c:numRef>
              <c:f>各设区市达标率环比同比!$B$5:$B$15</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98.4</c:v>
                </c:pt>
              </c:numCache>
            </c:numRef>
          </c:val>
          <c:extLst>
            <c:ext xmlns:c16="http://schemas.microsoft.com/office/drawing/2014/chart" uri="{C3380CC4-5D6E-409C-BE32-E72D297353CC}">
              <c16:uniqueId val="{00000000-4322-4C3C-9F70-CB406FF94F94}"/>
            </c:ext>
          </c:extLst>
        </c:ser>
        <c:ser>
          <c:idx val="1"/>
          <c:order val="1"/>
          <c:tx>
            <c:strRef>
              <c:f>各设区市达标率环比同比!$C$4</c:f>
              <c:strCache>
                <c:ptCount val="1"/>
                <c:pt idx="0">
                  <c:v>2022年</c:v>
                </c:pt>
              </c:strCache>
            </c:strRef>
          </c:tx>
          <c:spPr>
            <a:solidFill>
              <a:schemeClr val="accent2"/>
            </a:solidFill>
            <a:ln>
              <a:noFill/>
            </a:ln>
            <a:effectLst/>
          </c:spPr>
          <c:invertIfNegative val="0"/>
          <c:cat>
            <c:strRef>
              <c:f>各设区市达标率环比同比!$A$5:$A$15</c:f>
              <c:strCache>
                <c:ptCount val="11"/>
                <c:pt idx="0">
                  <c:v>嘉兴</c:v>
                </c:pt>
                <c:pt idx="1">
                  <c:v>湖州</c:v>
                </c:pt>
                <c:pt idx="2">
                  <c:v>舟山</c:v>
                </c:pt>
                <c:pt idx="3">
                  <c:v>台州</c:v>
                </c:pt>
                <c:pt idx="4">
                  <c:v>绍兴</c:v>
                </c:pt>
                <c:pt idx="5">
                  <c:v>衢州</c:v>
                </c:pt>
                <c:pt idx="6">
                  <c:v>宁波</c:v>
                </c:pt>
                <c:pt idx="7">
                  <c:v>丽水</c:v>
                </c:pt>
                <c:pt idx="8">
                  <c:v>金华</c:v>
                </c:pt>
                <c:pt idx="9">
                  <c:v>杭州</c:v>
                </c:pt>
                <c:pt idx="10">
                  <c:v>温州</c:v>
                </c:pt>
              </c:strCache>
            </c:strRef>
          </c:cat>
          <c:val>
            <c:numRef>
              <c:f>各设区市达标率环比同比!$C$5:$C$15</c:f>
              <c:numCache>
                <c:formatCode>General</c:formatCode>
                <c:ptCount val="11"/>
                <c:pt idx="0">
                  <c:v>98.6</c:v>
                </c:pt>
                <c:pt idx="1">
                  <c:v>98.7</c:v>
                </c:pt>
                <c:pt idx="2">
                  <c:v>100</c:v>
                </c:pt>
                <c:pt idx="3">
                  <c:v>100</c:v>
                </c:pt>
                <c:pt idx="4">
                  <c:v>100</c:v>
                </c:pt>
                <c:pt idx="5">
                  <c:v>100</c:v>
                </c:pt>
                <c:pt idx="6">
                  <c:v>100</c:v>
                </c:pt>
                <c:pt idx="7">
                  <c:v>100</c:v>
                </c:pt>
                <c:pt idx="8">
                  <c:v>100</c:v>
                </c:pt>
                <c:pt idx="9">
                  <c:v>100</c:v>
                </c:pt>
                <c:pt idx="10">
                  <c:v>99.3</c:v>
                </c:pt>
              </c:numCache>
            </c:numRef>
          </c:val>
          <c:extLst>
            <c:ext xmlns:c16="http://schemas.microsoft.com/office/drawing/2014/chart" uri="{C3380CC4-5D6E-409C-BE32-E72D297353CC}">
              <c16:uniqueId val="{00000001-4322-4C3C-9F70-CB406FF94F94}"/>
            </c:ext>
          </c:extLst>
        </c:ser>
        <c:dLbls>
          <c:showLegendKey val="0"/>
          <c:showVal val="0"/>
          <c:showCatName val="0"/>
          <c:showSerName val="0"/>
          <c:showPercent val="0"/>
          <c:showBubbleSize val="0"/>
        </c:dLbls>
        <c:gapWidth val="100"/>
        <c:overlap val="-15"/>
        <c:axId val="1167939503"/>
        <c:axId val="1167928271"/>
      </c:barChart>
      <c:barChart>
        <c:barDir val="col"/>
        <c:grouping val="clustered"/>
        <c:varyColors val="0"/>
        <c:ser>
          <c:idx val="2"/>
          <c:order val="2"/>
          <c:tx>
            <c:strRef>
              <c:f>各设区市达标率环比同比!$D$4</c:f>
              <c:strCache>
                <c:ptCount val="1"/>
                <c:pt idx="0">
                  <c:v>改变值</c:v>
                </c:pt>
              </c:strCache>
            </c:strRef>
          </c:tx>
          <c:spPr>
            <a:solidFill>
              <a:srgbClr val="FF0000"/>
            </a:solidFill>
            <a:ln>
              <a:noFill/>
            </a:ln>
            <a:effectLst/>
          </c:spPr>
          <c:invertIfNegative val="1"/>
          <c:dLbls>
            <c:dLbl>
              <c:idx val="2"/>
              <c:layout>
                <c:manualLayout>
                  <c:x val="-2.5378266437832038E-3"/>
                  <c:y val="-1.8440053483880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22-4C3C-9F70-CB406FF94F94}"/>
                </c:ext>
              </c:extLst>
            </c:dLbl>
            <c:dLbl>
              <c:idx val="3"/>
              <c:layout>
                <c:manualLayout>
                  <c:x val="-2.5374270489723419E-3"/>
                  <c:y val="-1.8441638191452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22-4C3C-9F70-CB406FF94F94}"/>
                </c:ext>
              </c:extLst>
            </c:dLbl>
            <c:dLbl>
              <c:idx val="4"/>
              <c:layout>
                <c:manualLayout>
                  <c:x val="5.0746543005392069E-3"/>
                  <c:y val="-1.7312137869558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22-4C3C-9F70-CB406FF94F94}"/>
                </c:ext>
              </c:extLst>
            </c:dLbl>
            <c:dLbl>
              <c:idx val="5"/>
              <c:layout>
                <c:manualLayout>
                  <c:x val="0"/>
                  <c:y val="-1.5094339622641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22-4C3C-9F70-CB406FF94F94}"/>
                </c:ext>
              </c:extLst>
            </c:dLbl>
            <c:dLbl>
              <c:idx val="6"/>
              <c:layout>
                <c:manualLayout>
                  <c:x val="-9.3037917013695968E-17"/>
                  <c:y val="-2.0125786163522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22-4C3C-9F70-CB406FF94F94}"/>
                </c:ext>
              </c:extLst>
            </c:dLbl>
            <c:dLbl>
              <c:idx val="7"/>
              <c:layout>
                <c:manualLayout>
                  <c:x val="2.5374270489722491E-3"/>
                  <c:y val="-2.0125786163522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22-4C3C-9F70-CB406FF94F94}"/>
                </c:ext>
              </c:extLst>
            </c:dLbl>
            <c:dLbl>
              <c:idx val="8"/>
              <c:layout>
                <c:manualLayout>
                  <c:x val="0"/>
                  <c:y val="-2.51572327044025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22-4C3C-9F70-CB406FF94F94}"/>
                </c:ext>
              </c:extLst>
            </c:dLbl>
            <c:dLbl>
              <c:idx val="9"/>
              <c:layout>
                <c:manualLayout>
                  <c:x val="-9.3037917013695968E-17"/>
                  <c:y val="-2.0125786163522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322-4C3C-9F70-CB406FF94F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各设区市达标率环比同比!$A$5:$A$15</c:f>
              <c:strCache>
                <c:ptCount val="11"/>
                <c:pt idx="0">
                  <c:v>嘉兴</c:v>
                </c:pt>
                <c:pt idx="1">
                  <c:v>湖州</c:v>
                </c:pt>
                <c:pt idx="2">
                  <c:v>舟山</c:v>
                </c:pt>
                <c:pt idx="3">
                  <c:v>台州</c:v>
                </c:pt>
                <c:pt idx="4">
                  <c:v>绍兴</c:v>
                </c:pt>
                <c:pt idx="5">
                  <c:v>衢州</c:v>
                </c:pt>
                <c:pt idx="6">
                  <c:v>宁波</c:v>
                </c:pt>
                <c:pt idx="7">
                  <c:v>丽水</c:v>
                </c:pt>
                <c:pt idx="8">
                  <c:v>金华</c:v>
                </c:pt>
                <c:pt idx="9">
                  <c:v>杭州</c:v>
                </c:pt>
                <c:pt idx="10">
                  <c:v>温州</c:v>
                </c:pt>
              </c:strCache>
            </c:strRef>
          </c:cat>
          <c:val>
            <c:numRef>
              <c:f>各设区市达标率环比同比!$D$5:$D$15</c:f>
              <c:numCache>
                <c:formatCode>0.0_ </c:formatCode>
                <c:ptCount val="11"/>
                <c:pt idx="0">
                  <c:v>1.4000000000000057</c:v>
                </c:pt>
                <c:pt idx="1">
                  <c:v>1.3</c:v>
                </c:pt>
                <c:pt idx="2" formatCode="0_ ">
                  <c:v>0</c:v>
                </c:pt>
                <c:pt idx="3" formatCode="0_ ">
                  <c:v>0</c:v>
                </c:pt>
                <c:pt idx="4" formatCode="0_ ">
                  <c:v>0</c:v>
                </c:pt>
                <c:pt idx="5" formatCode="0_ ">
                  <c:v>0</c:v>
                </c:pt>
                <c:pt idx="6" formatCode="0_ ">
                  <c:v>0</c:v>
                </c:pt>
                <c:pt idx="7" formatCode="0_ ">
                  <c:v>0</c:v>
                </c:pt>
                <c:pt idx="8" formatCode="0_ ">
                  <c:v>0</c:v>
                </c:pt>
                <c:pt idx="9" formatCode="0_ ">
                  <c:v>0</c:v>
                </c:pt>
                <c:pt idx="10">
                  <c:v>-0.89999999999999147</c:v>
                </c:pt>
              </c:numCache>
            </c:numRef>
          </c:val>
          <c:extLst>
            <c:ext xmlns:c14="http://schemas.microsoft.com/office/drawing/2007/8/2/chart" uri="{6F2FDCE9-48DA-4B69-8628-5D25D57E5C99}">
              <c14:invertSolidFillFmt>
                <c14:spPr xmlns:c14="http://schemas.microsoft.com/office/drawing/2007/8/2/chart">
                  <a:solidFill>
                    <a:srgbClr val="92D050"/>
                  </a:solidFill>
                  <a:ln>
                    <a:noFill/>
                  </a:ln>
                  <a:effectLst/>
                </c14:spPr>
              </c14:invertSolidFillFmt>
            </c:ext>
            <c:ext xmlns:c16="http://schemas.microsoft.com/office/drawing/2014/chart" uri="{C3380CC4-5D6E-409C-BE32-E72D297353CC}">
              <c16:uniqueId val="{0000000A-4322-4C3C-9F70-CB406FF94F94}"/>
            </c:ext>
          </c:extLst>
        </c:ser>
        <c:dLbls>
          <c:showLegendKey val="0"/>
          <c:showVal val="0"/>
          <c:showCatName val="0"/>
          <c:showSerName val="0"/>
          <c:showPercent val="0"/>
          <c:showBubbleSize val="0"/>
        </c:dLbls>
        <c:gapWidth val="219"/>
        <c:overlap val="-27"/>
        <c:axId val="1249918735"/>
        <c:axId val="1249924975"/>
      </c:barChart>
      <c:catAx>
        <c:axId val="1167939503"/>
        <c:scaling>
          <c:orientation val="minMax"/>
        </c:scaling>
        <c:delete val="0"/>
        <c:axPos val="b"/>
        <c:numFmt formatCode="General" sourceLinked="1"/>
        <c:majorTickMark val="in"/>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1167928271"/>
        <c:crosses val="autoZero"/>
        <c:auto val="1"/>
        <c:lblAlgn val="ctr"/>
        <c:lblOffset val="100"/>
        <c:noMultiLvlLbl val="0"/>
      </c:catAx>
      <c:valAx>
        <c:axId val="1167928271"/>
        <c:scaling>
          <c:orientation val="minMax"/>
          <c:max val="104"/>
          <c:min val="90"/>
        </c:scaling>
        <c:delete val="0"/>
        <c:axPos val="l"/>
        <c:numFmt formatCode="0_ " sourceLinked="0"/>
        <c:majorTickMark val="in"/>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67939503"/>
        <c:crosses val="autoZero"/>
        <c:crossBetween val="between"/>
        <c:majorUnit val="5"/>
      </c:valAx>
      <c:valAx>
        <c:axId val="1249924975"/>
        <c:scaling>
          <c:orientation val="minMax"/>
          <c:max val="4"/>
          <c:min val="-60"/>
        </c:scaling>
        <c:delete val="0"/>
        <c:axPos val="r"/>
        <c:numFmt formatCode="0_ "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249918735"/>
        <c:crosses val="max"/>
        <c:crossBetween val="between"/>
      </c:valAx>
      <c:catAx>
        <c:axId val="1249918735"/>
        <c:scaling>
          <c:orientation val="minMax"/>
        </c:scaling>
        <c:delete val="1"/>
        <c:axPos val="b"/>
        <c:numFmt formatCode="General" sourceLinked="1"/>
        <c:majorTickMark val="out"/>
        <c:minorTickMark val="none"/>
        <c:tickLblPos val="nextTo"/>
        <c:crossAx val="1249924975"/>
        <c:crosses val="autoZero"/>
        <c:auto val="1"/>
        <c:lblAlgn val="ctr"/>
        <c:lblOffset val="100"/>
        <c:noMultiLvlLbl val="0"/>
      </c:catAx>
      <c:spPr>
        <a:noFill/>
        <a:ln w="6350">
          <a:solidFill>
            <a:schemeClr val="tx1"/>
          </a:solidFill>
        </a:ln>
        <a:effectLst/>
      </c:spPr>
    </c:plotArea>
    <c:legend>
      <c:legendPos val="t"/>
      <c:legendEntry>
        <c:idx val="2"/>
        <c:delete val="1"/>
      </c:legendEntry>
      <c:layout>
        <c:manualLayout>
          <c:xMode val="edge"/>
          <c:yMode val="edge"/>
          <c:x val="0.39048593426005446"/>
          <c:y val="2.0125786163522012E-2"/>
          <c:w val="0.21902793169521889"/>
          <c:h val="7.982568216708760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lt1"/>
    </a:solidFill>
    <a:ln w="9525" cap="flat" cmpd="sng" algn="ctr">
      <a:noFill/>
      <a:round/>
    </a:ln>
    <a:effectLst/>
  </c:spPr>
  <c:txPr>
    <a:bodyPr/>
    <a:lstStyle/>
    <a:p>
      <a:pPr>
        <a:defRPr/>
      </a:pPr>
      <a:endParaRPr lang="zh-CN"/>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8727034120735"/>
          <c:y val="0.13970064552741715"/>
          <c:w val="0.87367887363225705"/>
          <c:h val="0.73674296526887628"/>
        </c:manualLayout>
      </c:layout>
      <c:barChart>
        <c:barDir val="col"/>
        <c:grouping val="clustered"/>
        <c:varyColors val="0"/>
        <c:ser>
          <c:idx val="1"/>
          <c:order val="1"/>
          <c:tx>
            <c:strRef>
              <c:f>超标因子图!$C$5:$C$6</c:f>
              <c:strCache>
                <c:ptCount val="2"/>
                <c:pt idx="1">
                  <c:v>超标水量</c:v>
                </c:pt>
              </c:strCache>
            </c:strRef>
          </c:tx>
          <c:spPr>
            <a:solidFill>
              <a:schemeClr val="accent3">
                <a:lumMod val="75000"/>
              </a:schemeClr>
            </a:solidFill>
            <a:ln>
              <a:noFill/>
            </a:ln>
            <a:effectLst/>
          </c:spPr>
          <c:invertIfNegative val="0"/>
          <c:dLbls>
            <c:dLbl>
              <c:idx val="0"/>
              <c:layout>
                <c:manualLayout>
                  <c:x val="0"/>
                  <c:y val="3.6612139349739933E-2"/>
                </c:manualLayout>
              </c:layout>
              <c:tx>
                <c:rich>
                  <a:bodyPr/>
                  <a:lstStyle/>
                  <a:p>
                    <a:r>
                      <a:rPr lang="en-US" altLang="zh-CN"/>
                      <a:t>0.80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46-4F37-A6EC-D6EC294E5BD8}"/>
                </c:ext>
              </c:extLst>
            </c:dLbl>
            <c:dLbl>
              <c:idx val="1"/>
              <c:layout>
                <c:manualLayout>
                  <c:x val="0"/>
                  <c:y val="3.21849318015575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46-4F37-A6EC-D6EC294E5BD8}"/>
                </c:ext>
              </c:extLst>
            </c:dLbl>
            <c:dLbl>
              <c:idx val="2"/>
              <c:layout>
                <c:manualLayout>
                  <c:x val="0"/>
                  <c:y val="2.40240240240240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46-4F37-A6EC-D6EC294E5BD8}"/>
                </c:ext>
              </c:extLst>
            </c:dLbl>
            <c:dLbl>
              <c:idx val="4"/>
              <c:layout>
                <c:manualLayout>
                  <c:x val="4.9474335188619996E-3"/>
                  <c:y val="-7.750112317041524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46-4F37-A6EC-D6EC294E5BD8}"/>
                </c:ext>
              </c:extLst>
            </c:dLbl>
            <c:dLbl>
              <c:idx val="5"/>
              <c:layout>
                <c:manualLayout>
                  <c:x val="0"/>
                  <c:y val="1.63599182004090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46-4F37-A6EC-D6EC294E5BD8}"/>
                </c:ext>
              </c:extLst>
            </c:dLbl>
            <c:dLbl>
              <c:idx val="7"/>
              <c:layout>
                <c:manualLayout>
                  <c:x val="0"/>
                  <c:y val="-1.20120120120120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46-4F37-A6EC-D6EC294E5BD8}"/>
                </c:ext>
              </c:extLst>
            </c:dLbl>
            <c:dLbl>
              <c:idx val="12"/>
              <c:layout>
                <c:manualLayout>
                  <c:x val="0"/>
                  <c:y val="8.17995910020449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346-4F37-A6EC-D6EC294E5B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超标因子图!$A$7:$A$9</c:f>
              <c:strCache>
                <c:ptCount val="3"/>
                <c:pt idx="0">
                  <c:v>粪大肠菌群数</c:v>
                </c:pt>
                <c:pt idx="1">
                  <c:v>总磷</c:v>
                </c:pt>
                <c:pt idx="2">
                  <c:v>氨氮</c:v>
                </c:pt>
              </c:strCache>
            </c:strRef>
          </c:cat>
          <c:val>
            <c:numRef>
              <c:f>超标因子图!$C$7:$C$9</c:f>
              <c:numCache>
                <c:formatCode>General</c:formatCode>
                <c:ptCount val="3"/>
                <c:pt idx="0">
                  <c:v>0.8</c:v>
                </c:pt>
                <c:pt idx="1">
                  <c:v>0.71</c:v>
                </c:pt>
                <c:pt idx="2">
                  <c:v>0.24</c:v>
                </c:pt>
              </c:numCache>
            </c:numRef>
          </c:val>
          <c:extLst>
            <c:ext xmlns:c16="http://schemas.microsoft.com/office/drawing/2014/chart" uri="{C3380CC4-5D6E-409C-BE32-E72D297353CC}">
              <c16:uniqueId val="{00000007-2346-4F37-A6EC-D6EC294E5BD8}"/>
            </c:ext>
          </c:extLst>
        </c:ser>
        <c:dLbls>
          <c:showLegendKey val="0"/>
          <c:showVal val="0"/>
          <c:showCatName val="0"/>
          <c:showSerName val="0"/>
          <c:showPercent val="0"/>
          <c:showBubbleSize val="0"/>
        </c:dLbls>
        <c:gapWidth val="280"/>
        <c:overlap val="100"/>
        <c:axId val="1161402175"/>
        <c:axId val="1161400095"/>
      </c:barChart>
      <c:barChart>
        <c:barDir val="col"/>
        <c:grouping val="clustered"/>
        <c:varyColors val="0"/>
        <c:ser>
          <c:idx val="0"/>
          <c:order val="0"/>
          <c:tx>
            <c:strRef>
              <c:f>超标因子图!$B$5:$B$6</c:f>
              <c:strCache>
                <c:ptCount val="2"/>
                <c:pt idx="1">
                  <c:v>超标家数</c:v>
                </c:pt>
              </c:strCache>
            </c:strRef>
          </c:tx>
          <c:spPr>
            <a:noFill/>
            <a:ln>
              <a:noFill/>
            </a:ln>
            <a:effectLst/>
          </c:spPr>
          <c:invertIfNegative val="0"/>
          <c:dLbls>
            <c:dLbl>
              <c:idx val="2"/>
              <c:layout>
                <c:manualLayout>
                  <c:x val="2.5300442757747333E-3"/>
                  <c:y val="0.1677869336100430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46-4F37-A6EC-D6EC294E5BD8}"/>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超标因子图!$A$7:$A$9</c:f>
              <c:strCache>
                <c:ptCount val="3"/>
                <c:pt idx="0">
                  <c:v>粪大肠菌群数</c:v>
                </c:pt>
                <c:pt idx="1">
                  <c:v>总磷</c:v>
                </c:pt>
                <c:pt idx="2">
                  <c:v>氨氮</c:v>
                </c:pt>
              </c:strCache>
            </c:strRef>
          </c:cat>
          <c:val>
            <c:numRef>
              <c:f>超标因子图!$B$7:$B$9</c:f>
              <c:numCache>
                <c:formatCode>General</c:formatCode>
                <c:ptCount val="3"/>
                <c:pt idx="0">
                  <c:v>3</c:v>
                </c:pt>
                <c:pt idx="1">
                  <c:v>1</c:v>
                </c:pt>
                <c:pt idx="2">
                  <c:v>1</c:v>
                </c:pt>
              </c:numCache>
            </c:numRef>
          </c:val>
          <c:extLst>
            <c:ext xmlns:c16="http://schemas.microsoft.com/office/drawing/2014/chart" uri="{C3380CC4-5D6E-409C-BE32-E72D297353CC}">
              <c16:uniqueId val="{00000009-2346-4F37-A6EC-D6EC294E5BD8}"/>
            </c:ext>
          </c:extLst>
        </c:ser>
        <c:dLbls>
          <c:showLegendKey val="0"/>
          <c:showVal val="0"/>
          <c:showCatName val="0"/>
          <c:showSerName val="0"/>
          <c:showPercent val="0"/>
          <c:showBubbleSize val="0"/>
        </c:dLbls>
        <c:gapWidth val="219"/>
        <c:overlap val="100"/>
        <c:axId val="1301155199"/>
        <c:axId val="1301166847"/>
      </c:barChart>
      <c:catAx>
        <c:axId val="1161402175"/>
        <c:scaling>
          <c:orientation val="minMax"/>
        </c:scaling>
        <c:delete val="0"/>
        <c:axPos val="b"/>
        <c:numFmt formatCode="General" sourceLinked="1"/>
        <c:majorTickMark val="in"/>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ea"/>
                <a:ea typeface="+mn-ea"/>
                <a:cs typeface="+mn-cs"/>
              </a:defRPr>
            </a:pPr>
            <a:endParaRPr lang="zh-CN"/>
          </a:p>
        </c:txPr>
        <c:crossAx val="1161400095"/>
        <c:crosses val="autoZero"/>
        <c:auto val="0"/>
        <c:lblAlgn val="ctr"/>
        <c:lblOffset val="100"/>
        <c:noMultiLvlLbl val="0"/>
      </c:catAx>
      <c:valAx>
        <c:axId val="1161400095"/>
        <c:scaling>
          <c:orientation val="minMax"/>
          <c:max val="1"/>
          <c:min val="0"/>
        </c:scaling>
        <c:delete val="0"/>
        <c:axPos val="l"/>
        <c:numFmt formatCode="#,##0.0_);[Red]\(#,##0.0\)" sourceLinked="0"/>
        <c:majorTickMark val="in"/>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1161402175"/>
        <c:crosses val="autoZero"/>
        <c:crossBetween val="between"/>
        <c:majorUnit val="0.2"/>
      </c:valAx>
      <c:valAx>
        <c:axId val="1301166847"/>
        <c:scaling>
          <c:orientation val="minMax"/>
        </c:scaling>
        <c:delete val="0"/>
        <c:axPos val="r"/>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ea"/>
                <a:ea typeface="+mn-ea"/>
                <a:cs typeface="+mn-cs"/>
              </a:defRPr>
            </a:pPr>
            <a:endParaRPr lang="zh-CN"/>
          </a:p>
        </c:txPr>
        <c:crossAx val="1301155199"/>
        <c:crosses val="max"/>
        <c:crossBetween val="between"/>
      </c:valAx>
      <c:catAx>
        <c:axId val="1301155199"/>
        <c:scaling>
          <c:orientation val="minMax"/>
        </c:scaling>
        <c:delete val="1"/>
        <c:axPos val="b"/>
        <c:numFmt formatCode="General" sourceLinked="1"/>
        <c:majorTickMark val="out"/>
        <c:minorTickMark val="none"/>
        <c:tickLblPos val="nextTo"/>
        <c:crossAx val="1301166847"/>
        <c:crosses val="autoZero"/>
        <c:auto val="0"/>
        <c:lblAlgn val="ctr"/>
        <c:lblOffset val="100"/>
        <c:noMultiLvlLbl val="0"/>
      </c:catAx>
      <c:spPr>
        <a:noFill/>
        <a:ln w="6350">
          <a:solidFill>
            <a:schemeClr val="tx1"/>
          </a:solidFill>
        </a:ln>
        <a:effectLst/>
      </c:spPr>
    </c:plotArea>
    <c:plotVisOnly val="1"/>
    <c:dispBlanksAs val="gap"/>
    <c:showDLblsOverMax val="0"/>
  </c:chart>
  <c:spPr>
    <a:solidFill>
      <a:schemeClr val="bg1"/>
    </a:solidFill>
    <a:ln w="6350" cap="flat" cmpd="sng" algn="ctr">
      <a:noFill/>
      <a:round/>
    </a:ln>
    <a:effectLst/>
  </c:spPr>
  <c:txPr>
    <a:bodyPr/>
    <a:lstStyle/>
    <a:p>
      <a:pPr>
        <a:defRPr sz="900">
          <a:latin typeface="+mn-ea"/>
          <a:ea typeface="+mn-ea"/>
        </a:defRPr>
      </a:pPr>
      <a:endParaRPr lang="zh-CN"/>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8727034120735"/>
          <c:y val="0.13970064552741715"/>
          <c:w val="0.79478354362331216"/>
          <c:h val="0.46127087807205919"/>
        </c:manualLayout>
      </c:layout>
      <c:barChart>
        <c:barDir val="col"/>
        <c:grouping val="clustered"/>
        <c:varyColors val="0"/>
        <c:ser>
          <c:idx val="1"/>
          <c:order val="1"/>
          <c:tx>
            <c:strRef>
              <c:f>废气各行业达标率!$C$6</c:f>
              <c:strCache>
                <c:ptCount val="1"/>
                <c:pt idx="0">
                  <c:v>达标率</c:v>
                </c:pt>
              </c:strCache>
            </c:strRef>
          </c:tx>
          <c:spPr>
            <a:solidFill>
              <a:schemeClr val="accent3">
                <a:lumMod val="75000"/>
              </a:schemeClr>
            </a:solidFill>
            <a:ln>
              <a:noFill/>
            </a:ln>
            <a:effectLst/>
          </c:spPr>
          <c:invertIfNegative val="0"/>
          <c:dLbls>
            <c:dLbl>
              <c:idx val="0"/>
              <c:layout>
                <c:manualLayout>
                  <c:x val="-7.7972709551657037E-3"/>
                  <c:y val="-1.68243953732912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FC3-4A7C-A676-271CE173313A}"/>
                </c:ext>
              </c:extLst>
            </c:dLbl>
            <c:dLbl>
              <c:idx val="1"/>
              <c:layout>
                <c:manualLayout>
                  <c:x val="0"/>
                  <c:y val="-5.04731861198738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C3-4A7C-A676-271CE173313A}"/>
                </c:ext>
              </c:extLst>
            </c:dLbl>
            <c:dLbl>
              <c:idx val="8"/>
              <c:layout>
                <c:manualLayout>
                  <c:x val="-9.5298877440149649E-17"/>
                  <c:y val="-5.04731861198738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FC3-4A7C-A676-271CE173313A}"/>
                </c:ext>
              </c:extLst>
            </c:dLbl>
            <c:dLbl>
              <c:idx val="10"/>
              <c:layout>
                <c:manualLayout>
                  <c:x val="-5.1981152958290831E-3"/>
                  <c:y val="-5.2811029600798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C3-4A7C-A676-271CE17331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废气各行业达标率!$A$7:$A$18</c:f>
              <c:strCache>
                <c:ptCount val="12"/>
                <c:pt idx="0">
                  <c:v>金属制品业</c:v>
                </c:pt>
                <c:pt idx="1">
                  <c:v>电力、热力生产和供应业</c:v>
                </c:pt>
                <c:pt idx="2">
                  <c:v>化学原料和化学制品制造业</c:v>
                </c:pt>
                <c:pt idx="3">
                  <c:v>纺织业</c:v>
                </c:pt>
                <c:pt idx="4">
                  <c:v>非金属矿物制品业</c:v>
                </c:pt>
                <c:pt idx="5">
                  <c:v>生态保护和环境治理业</c:v>
                </c:pt>
                <c:pt idx="6">
                  <c:v>有色金属冶炼和压延加工业</c:v>
                </c:pt>
                <c:pt idx="7">
                  <c:v>橡胶和塑料制品业</c:v>
                </c:pt>
                <c:pt idx="8">
                  <c:v>医药制造业</c:v>
                </c:pt>
                <c:pt idx="9">
                  <c:v>电气机械和器材制造业</c:v>
                </c:pt>
                <c:pt idx="10">
                  <c:v>公共设施管理业</c:v>
                </c:pt>
                <c:pt idx="11">
                  <c:v>其他行业</c:v>
                </c:pt>
              </c:strCache>
            </c:strRef>
          </c:cat>
          <c:val>
            <c:numRef>
              <c:f>废气各行业达标率!$C$7:$C$18</c:f>
              <c:numCache>
                <c:formatCode>General</c:formatCode>
                <c:ptCount val="12"/>
                <c:pt idx="0">
                  <c:v>99.7</c:v>
                </c:pt>
                <c:pt idx="1">
                  <c:v>99.3</c:v>
                </c:pt>
                <c:pt idx="2">
                  <c:v>100</c:v>
                </c:pt>
                <c:pt idx="3">
                  <c:v>100</c:v>
                </c:pt>
                <c:pt idx="4">
                  <c:v>100</c:v>
                </c:pt>
                <c:pt idx="5">
                  <c:v>98.1</c:v>
                </c:pt>
                <c:pt idx="6" formatCode="0.0_ ">
                  <c:v>99</c:v>
                </c:pt>
                <c:pt idx="7">
                  <c:v>100</c:v>
                </c:pt>
                <c:pt idx="8">
                  <c:v>99.3</c:v>
                </c:pt>
                <c:pt idx="9">
                  <c:v>100</c:v>
                </c:pt>
                <c:pt idx="10">
                  <c:v>99.3</c:v>
                </c:pt>
                <c:pt idx="11" formatCode="0_);[Red]\(0\)">
                  <c:v>100</c:v>
                </c:pt>
              </c:numCache>
            </c:numRef>
          </c:val>
          <c:extLst>
            <c:ext xmlns:c16="http://schemas.microsoft.com/office/drawing/2014/chart" uri="{C3380CC4-5D6E-409C-BE32-E72D297353CC}">
              <c16:uniqueId val="{00000004-3FC3-4A7C-A676-271CE173313A}"/>
            </c:ext>
          </c:extLst>
        </c:ser>
        <c:dLbls>
          <c:showLegendKey val="0"/>
          <c:showVal val="0"/>
          <c:showCatName val="0"/>
          <c:showSerName val="0"/>
          <c:showPercent val="0"/>
          <c:showBubbleSize val="0"/>
        </c:dLbls>
        <c:gapWidth val="100"/>
        <c:overlap val="100"/>
        <c:axId val="1161402175"/>
        <c:axId val="1161400095"/>
      </c:barChart>
      <c:barChart>
        <c:barDir val="col"/>
        <c:grouping val="clustered"/>
        <c:varyColors val="0"/>
        <c:ser>
          <c:idx val="0"/>
          <c:order val="0"/>
          <c:tx>
            <c:strRef>
              <c:f>废气各行业达标率!$B$6</c:f>
              <c:strCache>
                <c:ptCount val="1"/>
                <c:pt idx="0">
                  <c:v>监测家数</c:v>
                </c:pt>
              </c:strCache>
            </c:strRef>
          </c:tx>
          <c:spPr>
            <a:no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ysClr val="windowText" lastClr="000000"/>
                    </a:solidFill>
                    <a:effectLst/>
                    <a:latin typeface="Times New Roman" panose="02020603050405020304" pitchFamily="18" charset="0"/>
                    <a:ea typeface="+mn-ea"/>
                    <a:cs typeface="Times New Roman" panose="02020603050405020304" pitchFamily="18" charset="0"/>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废气各行业达标率!$A$7:$A$18</c:f>
              <c:strCache>
                <c:ptCount val="12"/>
                <c:pt idx="0">
                  <c:v>金属制品业</c:v>
                </c:pt>
                <c:pt idx="1">
                  <c:v>电力、热力生产和供应业</c:v>
                </c:pt>
                <c:pt idx="2">
                  <c:v>化学原料和化学制品制造业</c:v>
                </c:pt>
                <c:pt idx="3">
                  <c:v>纺织业</c:v>
                </c:pt>
                <c:pt idx="4">
                  <c:v>非金属矿物制品业</c:v>
                </c:pt>
                <c:pt idx="5">
                  <c:v>生态保护和环境治理业</c:v>
                </c:pt>
                <c:pt idx="6">
                  <c:v>有色金属冶炼和压延加工业</c:v>
                </c:pt>
                <c:pt idx="7">
                  <c:v>橡胶和塑料制品业</c:v>
                </c:pt>
                <c:pt idx="8">
                  <c:v>医药制造业</c:v>
                </c:pt>
                <c:pt idx="9">
                  <c:v>电气机械和器材制造业</c:v>
                </c:pt>
                <c:pt idx="10">
                  <c:v>公共设施管理业</c:v>
                </c:pt>
                <c:pt idx="11">
                  <c:v>其他行业</c:v>
                </c:pt>
              </c:strCache>
            </c:strRef>
          </c:cat>
          <c:val>
            <c:numRef>
              <c:f>废气各行业达标率!$B$7:$B$18</c:f>
              <c:numCache>
                <c:formatCode>General</c:formatCode>
                <c:ptCount val="12"/>
                <c:pt idx="0">
                  <c:v>353</c:v>
                </c:pt>
                <c:pt idx="1">
                  <c:v>162</c:v>
                </c:pt>
                <c:pt idx="2">
                  <c:v>139</c:v>
                </c:pt>
                <c:pt idx="3">
                  <c:v>87</c:v>
                </c:pt>
                <c:pt idx="4">
                  <c:v>84</c:v>
                </c:pt>
                <c:pt idx="5">
                  <c:v>55</c:v>
                </c:pt>
                <c:pt idx="6">
                  <c:v>52</c:v>
                </c:pt>
                <c:pt idx="7">
                  <c:v>50</c:v>
                </c:pt>
                <c:pt idx="8">
                  <c:v>48</c:v>
                </c:pt>
                <c:pt idx="9">
                  <c:v>35</c:v>
                </c:pt>
                <c:pt idx="10">
                  <c:v>35</c:v>
                </c:pt>
                <c:pt idx="11">
                  <c:v>294</c:v>
                </c:pt>
              </c:numCache>
            </c:numRef>
          </c:val>
          <c:extLst>
            <c:ext xmlns:c16="http://schemas.microsoft.com/office/drawing/2014/chart" uri="{C3380CC4-5D6E-409C-BE32-E72D297353CC}">
              <c16:uniqueId val="{00000005-3FC3-4A7C-A676-271CE173313A}"/>
            </c:ext>
          </c:extLst>
        </c:ser>
        <c:dLbls>
          <c:showLegendKey val="0"/>
          <c:showVal val="0"/>
          <c:showCatName val="0"/>
          <c:showSerName val="0"/>
          <c:showPercent val="0"/>
          <c:showBubbleSize val="0"/>
        </c:dLbls>
        <c:gapWidth val="219"/>
        <c:overlap val="100"/>
        <c:axId val="1301155199"/>
        <c:axId val="1301166847"/>
      </c:barChart>
      <c:catAx>
        <c:axId val="1161402175"/>
        <c:scaling>
          <c:orientation val="minMax"/>
        </c:scaling>
        <c:delete val="0"/>
        <c:axPos val="b"/>
        <c:numFmt formatCode="General" sourceLinked="1"/>
        <c:majorTickMark val="in"/>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ea"/>
                <a:ea typeface="+mn-ea"/>
                <a:cs typeface="+mn-cs"/>
              </a:defRPr>
            </a:pPr>
            <a:endParaRPr lang="zh-CN"/>
          </a:p>
        </c:txPr>
        <c:crossAx val="1161400095"/>
        <c:crosses val="autoZero"/>
        <c:auto val="0"/>
        <c:lblAlgn val="ctr"/>
        <c:lblOffset val="100"/>
        <c:noMultiLvlLbl val="0"/>
      </c:catAx>
      <c:valAx>
        <c:axId val="1161400095"/>
        <c:scaling>
          <c:orientation val="minMax"/>
          <c:max val="100"/>
          <c:min val="95"/>
        </c:scaling>
        <c:delete val="0"/>
        <c:axPos val="l"/>
        <c:numFmt formatCode="#,##0_);[Red]\(#,##0\)" sourceLinked="0"/>
        <c:majorTickMark val="in"/>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61402175"/>
        <c:crosses val="autoZero"/>
        <c:crossBetween val="between"/>
        <c:majorUnit val="1"/>
      </c:valAx>
      <c:valAx>
        <c:axId val="1301166847"/>
        <c:scaling>
          <c:orientation val="minMax"/>
        </c:scaling>
        <c:delete val="0"/>
        <c:axPos val="r"/>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ea"/>
                <a:ea typeface="+mn-ea"/>
                <a:cs typeface="+mn-cs"/>
              </a:defRPr>
            </a:pPr>
            <a:endParaRPr lang="zh-CN"/>
          </a:p>
        </c:txPr>
        <c:crossAx val="1301155199"/>
        <c:crosses val="max"/>
        <c:crossBetween val="between"/>
      </c:valAx>
      <c:catAx>
        <c:axId val="1301155199"/>
        <c:scaling>
          <c:orientation val="minMax"/>
        </c:scaling>
        <c:delete val="1"/>
        <c:axPos val="b"/>
        <c:numFmt formatCode="General" sourceLinked="1"/>
        <c:majorTickMark val="out"/>
        <c:minorTickMark val="none"/>
        <c:tickLblPos val="nextTo"/>
        <c:crossAx val="1301166847"/>
        <c:crosses val="autoZero"/>
        <c:auto val="0"/>
        <c:lblAlgn val="ctr"/>
        <c:lblOffset val="100"/>
        <c:noMultiLvlLbl val="0"/>
      </c:catAx>
      <c:spPr>
        <a:noFill/>
        <a:ln w="635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mn-ea"/>
          <a:ea typeface="+mn-ea"/>
        </a:defRPr>
      </a:pPr>
      <a:endParaRPr lang="zh-CN"/>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0.01502</cdr:y>
    </cdr:from>
    <cdr:to>
      <cdr:x>0.20625</cdr:x>
      <cdr:y>0.11411</cdr:y>
    </cdr:to>
    <cdr:sp macro="" textlink="">
      <cdr:nvSpPr>
        <cdr:cNvPr id="2" name="文本框 1"/>
        <cdr:cNvSpPr txBox="1"/>
      </cdr:nvSpPr>
      <cdr:spPr>
        <a:xfrm xmlns:a="http://schemas.openxmlformats.org/drawingml/2006/main">
          <a:off x="0" y="47625"/>
          <a:ext cx="985213"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t>达标率（</a:t>
          </a:r>
          <a:r>
            <a:rPr lang="en-US" altLang="zh-CN" sz="900"/>
            <a:t>%</a:t>
          </a:r>
          <a:r>
            <a:rPr lang="zh-CN" altLang="en-US" sz="900"/>
            <a:t>）</a:t>
          </a:r>
        </a:p>
      </cdr:txBody>
    </cdr:sp>
  </cdr:relSizeAnchor>
  <cdr:relSizeAnchor xmlns:cdr="http://schemas.openxmlformats.org/drawingml/2006/chartDrawing">
    <cdr:from>
      <cdr:x>0.88694</cdr:x>
      <cdr:y>0.44444</cdr:y>
    </cdr:from>
    <cdr:to>
      <cdr:x>0.99422</cdr:x>
      <cdr:y>0.54655</cdr:y>
    </cdr:to>
    <cdr:sp macro="" textlink="">
      <cdr:nvSpPr>
        <cdr:cNvPr id="3" name="文本框 2"/>
        <cdr:cNvSpPr txBox="1"/>
      </cdr:nvSpPr>
      <cdr:spPr>
        <a:xfrm xmlns:a="http://schemas.openxmlformats.org/drawingml/2006/main">
          <a:off x="4384566" y="1409686"/>
          <a:ext cx="530334" cy="3238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t>企业数</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0.08993</cdr:y>
    </cdr:from>
    <cdr:to>
      <cdr:x>0.17031</cdr:x>
      <cdr:y>0.18345</cdr:y>
    </cdr:to>
    <cdr:sp macro="" textlink="">
      <cdr:nvSpPr>
        <cdr:cNvPr id="2" name="文本框 1"/>
        <cdr:cNvSpPr txBox="1"/>
      </cdr:nvSpPr>
      <cdr:spPr>
        <a:xfrm xmlns:a="http://schemas.openxmlformats.org/drawingml/2006/main">
          <a:off x="0" y="238126"/>
          <a:ext cx="852489"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latin typeface="+mn-ea"/>
              <a:ea typeface="+mn-ea"/>
            </a:rPr>
            <a:t>达标率</a:t>
          </a:r>
          <a:r>
            <a:rPr lang="zh-CN" altLang="en-US" sz="900">
              <a:latin typeface="Times New Roman" panose="02020603050405020304" pitchFamily="18" charset="0"/>
              <a:ea typeface="+mn-ea"/>
              <a:cs typeface="Times New Roman" panose="02020603050405020304" pitchFamily="18" charset="0"/>
            </a:rPr>
            <a:t>（</a:t>
          </a:r>
          <a:r>
            <a:rPr lang="en-US" altLang="zh-CN" sz="900">
              <a:latin typeface="Times New Roman" panose="02020603050405020304" pitchFamily="18" charset="0"/>
              <a:ea typeface="+mn-ea"/>
              <a:cs typeface="Times New Roman" panose="02020603050405020304" pitchFamily="18" charset="0"/>
            </a:rPr>
            <a:t>%</a:t>
          </a:r>
          <a:r>
            <a:rPr lang="zh-CN" altLang="en-US" sz="900">
              <a:latin typeface="+mn-ea"/>
              <a:ea typeface="+mn-ea"/>
            </a:rPr>
            <a:t>）</a:t>
          </a:r>
        </a:p>
      </cdr:txBody>
    </cdr:sp>
  </cdr:relSizeAnchor>
  <cdr:relSizeAnchor xmlns:cdr="http://schemas.openxmlformats.org/drawingml/2006/chartDrawing">
    <cdr:from>
      <cdr:x>0.82969</cdr:x>
      <cdr:y>0.07674</cdr:y>
    </cdr:from>
    <cdr:to>
      <cdr:x>1</cdr:x>
      <cdr:y>0.17026</cdr:y>
    </cdr:to>
    <cdr:sp macro="" textlink="">
      <cdr:nvSpPr>
        <cdr:cNvPr id="3" name="文本框 1"/>
        <cdr:cNvSpPr txBox="1"/>
      </cdr:nvSpPr>
      <cdr:spPr>
        <a:xfrm xmlns:a="http://schemas.openxmlformats.org/drawingml/2006/main">
          <a:off x="4152900" y="203200"/>
          <a:ext cx="852489" cy="2476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900">
              <a:latin typeface="+mn-ea"/>
              <a:ea typeface="+mn-ea"/>
            </a:rPr>
            <a:t>变化百分点</a:t>
          </a:r>
        </a:p>
      </cdr:txBody>
    </cdr:sp>
  </cdr:relSizeAnchor>
  <cdr:relSizeAnchor xmlns:cdr="http://schemas.openxmlformats.org/drawingml/2006/chartDrawing">
    <cdr:from>
      <cdr:x>0.54329</cdr:x>
      <cdr:y>0.03597</cdr:y>
    </cdr:from>
    <cdr:to>
      <cdr:x>0.72027</cdr:x>
      <cdr:y>0.10432</cdr:y>
    </cdr:to>
    <cdr:sp macro="" textlink="">
      <cdr:nvSpPr>
        <cdr:cNvPr id="4" name="文本框 3"/>
        <cdr:cNvSpPr txBox="1"/>
      </cdr:nvSpPr>
      <cdr:spPr>
        <a:xfrm xmlns:a="http://schemas.openxmlformats.org/drawingml/2006/main">
          <a:off x="2719389" y="95251"/>
          <a:ext cx="8858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 </a:t>
          </a:r>
        </a:p>
      </cdr:txBody>
    </cdr:sp>
  </cdr:relSizeAnchor>
</c:userShapes>
</file>

<file path=word/drawings/drawing3.xml><?xml version="1.0" encoding="utf-8"?>
<c:userShapes xmlns:c="http://schemas.openxmlformats.org/drawingml/2006/chart">
  <cdr:relSizeAnchor xmlns:cdr="http://schemas.openxmlformats.org/drawingml/2006/chartDrawing">
    <cdr:from>
      <cdr:x>0.0144</cdr:x>
      <cdr:y>0.04814</cdr:y>
    </cdr:from>
    <cdr:to>
      <cdr:x>0.18471</cdr:x>
      <cdr:y>0.14166</cdr:y>
    </cdr:to>
    <cdr:sp macro="" textlink="">
      <cdr:nvSpPr>
        <cdr:cNvPr id="2" name="文本框 1"/>
        <cdr:cNvSpPr txBox="1"/>
      </cdr:nvSpPr>
      <cdr:spPr>
        <a:xfrm xmlns:a="http://schemas.openxmlformats.org/drawingml/2006/main">
          <a:off x="76200" y="153605"/>
          <a:ext cx="901134" cy="2984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latin typeface="+mn-ea"/>
              <a:ea typeface="+mn-ea"/>
            </a:rPr>
            <a:t>达标率</a:t>
          </a:r>
          <a:r>
            <a:rPr lang="zh-CN" altLang="en-US" sz="900">
              <a:latin typeface="Times New Roman" panose="02020603050405020304" pitchFamily="18" charset="0"/>
              <a:ea typeface="+mn-ea"/>
              <a:cs typeface="Times New Roman" panose="02020603050405020304" pitchFamily="18" charset="0"/>
            </a:rPr>
            <a:t>（</a:t>
          </a:r>
          <a:r>
            <a:rPr lang="en-US" altLang="zh-CN" sz="900">
              <a:latin typeface="Times New Roman" panose="02020603050405020304" pitchFamily="18" charset="0"/>
              <a:ea typeface="+mn-ea"/>
              <a:cs typeface="Times New Roman" panose="02020603050405020304" pitchFamily="18" charset="0"/>
            </a:rPr>
            <a:t>%</a:t>
          </a:r>
          <a:r>
            <a:rPr lang="zh-CN" altLang="en-US" sz="900">
              <a:latin typeface="+mn-ea"/>
              <a:ea typeface="+mn-ea"/>
            </a:rPr>
            <a:t>）</a:t>
          </a:r>
        </a:p>
      </cdr:txBody>
    </cdr:sp>
  </cdr:relSizeAnchor>
  <cdr:relSizeAnchor xmlns:cdr="http://schemas.openxmlformats.org/drawingml/2006/chartDrawing">
    <cdr:from>
      <cdr:x>0.84557</cdr:x>
      <cdr:y>0.04047</cdr:y>
    </cdr:from>
    <cdr:to>
      <cdr:x>0.99608</cdr:x>
      <cdr:y>0.11221</cdr:y>
    </cdr:to>
    <cdr:sp macro="" textlink="">
      <cdr:nvSpPr>
        <cdr:cNvPr id="3" name="文本框 1"/>
        <cdr:cNvSpPr txBox="1"/>
      </cdr:nvSpPr>
      <cdr:spPr>
        <a:xfrm xmlns:a="http://schemas.openxmlformats.org/drawingml/2006/main">
          <a:off x="4276726" y="152401"/>
          <a:ext cx="761224" cy="270204"/>
        </a:xfrm>
        <a:prstGeom xmlns:a="http://schemas.openxmlformats.org/drawingml/2006/main" prst="rect">
          <a:avLst/>
        </a:prstGeom>
      </cdr:spPr>
      <cdr:txBody>
        <a:bodyPr xmlns:a="http://schemas.openxmlformats.org/drawingml/2006/main" wrap="square"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900">
              <a:latin typeface="+mn-ea"/>
              <a:ea typeface="+mn-ea"/>
            </a:rPr>
            <a:t>变化百分点</a:t>
          </a:r>
        </a:p>
      </cdr:txBody>
    </cdr:sp>
  </cdr:relSizeAnchor>
  <cdr:relSizeAnchor xmlns:cdr="http://schemas.openxmlformats.org/drawingml/2006/chartDrawing">
    <cdr:from>
      <cdr:x>0.54329</cdr:x>
      <cdr:y>0.03597</cdr:y>
    </cdr:from>
    <cdr:to>
      <cdr:x>0.72027</cdr:x>
      <cdr:y>0.10432</cdr:y>
    </cdr:to>
    <cdr:sp macro="" textlink="">
      <cdr:nvSpPr>
        <cdr:cNvPr id="4" name="文本框 3"/>
        <cdr:cNvSpPr txBox="1"/>
      </cdr:nvSpPr>
      <cdr:spPr>
        <a:xfrm xmlns:a="http://schemas.openxmlformats.org/drawingml/2006/main">
          <a:off x="2719389" y="95251"/>
          <a:ext cx="8858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 </a:t>
          </a:r>
        </a:p>
      </cdr:txBody>
    </cdr:sp>
  </cdr:relSizeAnchor>
</c:userShapes>
</file>

<file path=word/drawings/drawing4.xml><?xml version="1.0" encoding="utf-8"?>
<c:userShapes xmlns:c="http://schemas.openxmlformats.org/drawingml/2006/chart">
  <cdr:relSizeAnchor xmlns:cdr="http://schemas.openxmlformats.org/drawingml/2006/chartDrawing">
    <cdr:from>
      <cdr:x>0.24116</cdr:x>
      <cdr:y>0.09744</cdr:y>
    </cdr:from>
    <cdr:to>
      <cdr:x>0.2701</cdr:x>
      <cdr:y>0.37949</cdr:y>
    </cdr:to>
    <cdr:sp macro="" textlink="">
      <cdr:nvSpPr>
        <cdr:cNvPr id="2" name="文本框 1"/>
        <cdr:cNvSpPr txBox="1"/>
      </cdr:nvSpPr>
      <cdr:spPr>
        <a:xfrm xmlns:a="http://schemas.openxmlformats.org/drawingml/2006/main">
          <a:off x="1428751" y="361950"/>
          <a:ext cx="171450" cy="1047750"/>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0.34566</cdr:x>
      <cdr:y>0.10769</cdr:y>
    </cdr:from>
    <cdr:to>
      <cdr:x>0.39068</cdr:x>
      <cdr:y>0.42308</cdr:y>
    </cdr:to>
    <cdr:sp macro="" textlink="">
      <cdr:nvSpPr>
        <cdr:cNvPr id="3" name="文本框 2"/>
        <cdr:cNvSpPr txBox="1"/>
      </cdr:nvSpPr>
      <cdr:spPr>
        <a:xfrm xmlns:a="http://schemas.openxmlformats.org/drawingml/2006/main">
          <a:off x="2047876" y="400050"/>
          <a:ext cx="266700" cy="1171575"/>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endParaRPr lang="zh-CN" altLang="en-US" sz="1100"/>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0.08993</cdr:y>
    </cdr:from>
    <cdr:to>
      <cdr:x>0.20158</cdr:x>
      <cdr:y>0.19134</cdr:y>
    </cdr:to>
    <cdr:sp macro="" textlink="">
      <cdr:nvSpPr>
        <cdr:cNvPr id="2" name="文本框 1"/>
        <cdr:cNvSpPr txBox="1"/>
      </cdr:nvSpPr>
      <cdr:spPr>
        <a:xfrm xmlns:a="http://schemas.openxmlformats.org/drawingml/2006/main">
          <a:off x="0" y="237274"/>
          <a:ext cx="971550" cy="2675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latin typeface="+mn-ea"/>
              <a:ea typeface="+mn-ea"/>
            </a:rPr>
            <a:t>达标率</a:t>
          </a:r>
          <a:r>
            <a:rPr lang="zh-CN" altLang="en-US" sz="900">
              <a:latin typeface="Times New Roman" panose="02020603050405020304" pitchFamily="18" charset="0"/>
              <a:ea typeface="+mn-ea"/>
              <a:cs typeface="Times New Roman" panose="02020603050405020304" pitchFamily="18" charset="0"/>
            </a:rPr>
            <a:t>（</a:t>
          </a:r>
          <a:r>
            <a:rPr lang="en-US" altLang="zh-CN" sz="900">
              <a:latin typeface="Times New Roman" panose="02020603050405020304" pitchFamily="18" charset="0"/>
              <a:ea typeface="+mn-ea"/>
              <a:cs typeface="Times New Roman" panose="02020603050405020304" pitchFamily="18" charset="0"/>
            </a:rPr>
            <a:t>%</a:t>
          </a:r>
          <a:r>
            <a:rPr lang="zh-CN" altLang="en-US" sz="900">
              <a:latin typeface="+mn-ea"/>
              <a:ea typeface="+mn-ea"/>
            </a:rPr>
            <a:t>）</a:t>
          </a:r>
        </a:p>
      </cdr:txBody>
    </cdr:sp>
  </cdr:relSizeAnchor>
  <cdr:relSizeAnchor xmlns:cdr="http://schemas.openxmlformats.org/drawingml/2006/chartDrawing">
    <cdr:from>
      <cdr:x>0.82969</cdr:x>
      <cdr:y>0.07674</cdr:y>
    </cdr:from>
    <cdr:to>
      <cdr:x>1</cdr:x>
      <cdr:y>0.17026</cdr:y>
    </cdr:to>
    <cdr:sp macro="" textlink="">
      <cdr:nvSpPr>
        <cdr:cNvPr id="3" name="文本框 1"/>
        <cdr:cNvSpPr txBox="1"/>
      </cdr:nvSpPr>
      <cdr:spPr>
        <a:xfrm xmlns:a="http://schemas.openxmlformats.org/drawingml/2006/main">
          <a:off x="4152900" y="203200"/>
          <a:ext cx="852489" cy="2476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900">
              <a:latin typeface="+mn-ea"/>
              <a:ea typeface="+mn-ea"/>
            </a:rPr>
            <a:t>变化百分点</a:t>
          </a:r>
        </a:p>
      </cdr:txBody>
    </cdr:sp>
  </cdr:relSizeAnchor>
  <cdr:relSizeAnchor xmlns:cdr="http://schemas.openxmlformats.org/drawingml/2006/chartDrawing">
    <cdr:from>
      <cdr:x>0.54329</cdr:x>
      <cdr:y>0.03597</cdr:y>
    </cdr:from>
    <cdr:to>
      <cdr:x>0.72027</cdr:x>
      <cdr:y>0.10432</cdr:y>
    </cdr:to>
    <cdr:sp macro="" textlink="">
      <cdr:nvSpPr>
        <cdr:cNvPr id="4" name="文本框 3"/>
        <cdr:cNvSpPr txBox="1"/>
      </cdr:nvSpPr>
      <cdr:spPr>
        <a:xfrm xmlns:a="http://schemas.openxmlformats.org/drawingml/2006/main">
          <a:off x="2719389" y="95251"/>
          <a:ext cx="8858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 </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0.01502</cdr:y>
    </cdr:from>
    <cdr:to>
      <cdr:x>0.25603</cdr:x>
      <cdr:y>0.11411</cdr:y>
    </cdr:to>
    <cdr:sp macro="" textlink="">
      <cdr:nvSpPr>
        <cdr:cNvPr id="2" name="文本框 1"/>
        <cdr:cNvSpPr txBox="1"/>
      </cdr:nvSpPr>
      <cdr:spPr>
        <a:xfrm xmlns:a="http://schemas.openxmlformats.org/drawingml/2006/main">
          <a:off x="0" y="47641"/>
          <a:ext cx="1314450" cy="3142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t>超标水量（万吨</a:t>
          </a:r>
          <a:r>
            <a:rPr lang="en-US" altLang="zh-CN" sz="900"/>
            <a:t>/</a:t>
          </a:r>
          <a:r>
            <a:rPr lang="zh-CN" altLang="en-US" sz="900"/>
            <a:t>日）</a:t>
          </a:r>
        </a:p>
      </cdr:txBody>
    </cdr:sp>
  </cdr:relSizeAnchor>
  <cdr:relSizeAnchor xmlns:cdr="http://schemas.openxmlformats.org/drawingml/2006/chartDrawing">
    <cdr:from>
      <cdr:x>0.86347</cdr:x>
      <cdr:y>0.71935</cdr:y>
    </cdr:from>
    <cdr:to>
      <cdr:x>0.99241</cdr:x>
      <cdr:y>0.85278</cdr:y>
    </cdr:to>
    <cdr:sp macro="" textlink="">
      <cdr:nvSpPr>
        <cdr:cNvPr id="3" name="文本框 2"/>
        <cdr:cNvSpPr txBox="1"/>
      </cdr:nvSpPr>
      <cdr:spPr>
        <a:xfrm xmlns:a="http://schemas.openxmlformats.org/drawingml/2006/main">
          <a:off x="4334350" y="1767764"/>
          <a:ext cx="647225" cy="3278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t>超标个数</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0.01502</cdr:y>
    </cdr:from>
    <cdr:to>
      <cdr:x>0.18324</cdr:x>
      <cdr:y>0.09464</cdr:y>
    </cdr:to>
    <cdr:sp macro="" textlink="">
      <cdr:nvSpPr>
        <cdr:cNvPr id="2" name="文本框 1"/>
        <cdr:cNvSpPr txBox="1"/>
      </cdr:nvSpPr>
      <cdr:spPr>
        <a:xfrm xmlns:a="http://schemas.openxmlformats.org/drawingml/2006/main">
          <a:off x="0" y="45352"/>
          <a:ext cx="895350" cy="2403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t>达标率（</a:t>
          </a:r>
          <a:r>
            <a:rPr lang="en-US" altLang="zh-CN" sz="900"/>
            <a:t>%</a:t>
          </a:r>
          <a:r>
            <a:rPr lang="zh-CN" altLang="en-US" sz="900"/>
            <a:t>）</a:t>
          </a:r>
        </a:p>
      </cdr:txBody>
    </cdr:sp>
  </cdr:relSizeAnchor>
  <cdr:relSizeAnchor xmlns:cdr="http://schemas.openxmlformats.org/drawingml/2006/chartDrawing">
    <cdr:from>
      <cdr:x>0.88889</cdr:x>
      <cdr:y>0.52114</cdr:y>
    </cdr:from>
    <cdr:to>
      <cdr:x>1</cdr:x>
      <cdr:y>0.64126</cdr:y>
    </cdr:to>
    <cdr:sp macro="" textlink="">
      <cdr:nvSpPr>
        <cdr:cNvPr id="3" name="文本框 2"/>
        <cdr:cNvSpPr txBox="1"/>
      </cdr:nvSpPr>
      <cdr:spPr>
        <a:xfrm xmlns:a="http://schemas.openxmlformats.org/drawingml/2006/main">
          <a:off x="4216406" y="1747293"/>
          <a:ext cx="527044" cy="4027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t>企业数</a:t>
          </a:r>
        </a:p>
      </cdr:txBody>
    </cdr:sp>
  </cdr:relSizeAnchor>
  <cdr:relSizeAnchor xmlns:cdr="http://schemas.openxmlformats.org/drawingml/2006/chartDrawing">
    <cdr:from>
      <cdr:x>0.11306</cdr:x>
      <cdr:y>0.0694</cdr:y>
    </cdr:from>
    <cdr:to>
      <cdr:x>0.90058</cdr:x>
      <cdr:y>0.1388</cdr:y>
    </cdr:to>
    <cdr:sp macro="" textlink="">
      <cdr:nvSpPr>
        <cdr:cNvPr id="4" name="文本框 3"/>
        <cdr:cNvSpPr txBox="1"/>
      </cdr:nvSpPr>
      <cdr:spPr>
        <a:xfrm xmlns:a="http://schemas.openxmlformats.org/drawingml/2006/main">
          <a:off x="552450" y="209550"/>
          <a:ext cx="3848100"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drawings/drawing8.xml><?xml version="1.0" encoding="utf-8"?>
<c:userShapes xmlns:c="http://schemas.openxmlformats.org/drawingml/2006/chart">
  <cdr:relSizeAnchor xmlns:cdr="http://schemas.openxmlformats.org/drawingml/2006/chartDrawing">
    <cdr:from>
      <cdr:x>0.02518</cdr:x>
      <cdr:y>0.05097</cdr:y>
    </cdr:from>
    <cdr:to>
      <cdr:x>0.19549</cdr:x>
      <cdr:y>0.14449</cdr:y>
    </cdr:to>
    <cdr:sp macro="" textlink="">
      <cdr:nvSpPr>
        <cdr:cNvPr id="2" name="文本框 1"/>
        <cdr:cNvSpPr txBox="1"/>
      </cdr:nvSpPr>
      <cdr:spPr>
        <a:xfrm xmlns:a="http://schemas.openxmlformats.org/drawingml/2006/main">
          <a:off x="133480" y="171387"/>
          <a:ext cx="902756" cy="3144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latin typeface="+mn-ea"/>
              <a:ea typeface="+mn-ea"/>
            </a:rPr>
            <a:t>达标率</a:t>
          </a:r>
          <a:r>
            <a:rPr lang="zh-CN" altLang="en-US" sz="900">
              <a:latin typeface="Times New Roman" panose="02020603050405020304" pitchFamily="18" charset="0"/>
              <a:ea typeface="+mn-ea"/>
              <a:cs typeface="Times New Roman" panose="02020603050405020304" pitchFamily="18" charset="0"/>
            </a:rPr>
            <a:t>（</a:t>
          </a:r>
          <a:r>
            <a:rPr lang="en-US" altLang="zh-CN" sz="900">
              <a:latin typeface="Times New Roman" panose="02020603050405020304" pitchFamily="18" charset="0"/>
              <a:ea typeface="+mn-ea"/>
              <a:cs typeface="Times New Roman" panose="02020603050405020304" pitchFamily="18" charset="0"/>
            </a:rPr>
            <a:t>%</a:t>
          </a:r>
          <a:r>
            <a:rPr lang="zh-CN" altLang="en-US" sz="900">
              <a:latin typeface="+mn-ea"/>
              <a:ea typeface="+mn-ea"/>
            </a:rPr>
            <a:t>）</a:t>
          </a:r>
        </a:p>
      </cdr:txBody>
    </cdr:sp>
  </cdr:relSizeAnchor>
  <cdr:relSizeAnchor xmlns:cdr="http://schemas.openxmlformats.org/drawingml/2006/chartDrawing">
    <cdr:from>
      <cdr:x>0.82191</cdr:x>
      <cdr:y>0.06567</cdr:y>
    </cdr:from>
    <cdr:to>
      <cdr:x>0.98033</cdr:x>
      <cdr:y>0.13134</cdr:y>
    </cdr:to>
    <cdr:sp macro="" textlink="">
      <cdr:nvSpPr>
        <cdr:cNvPr id="3" name="文本框 1"/>
        <cdr:cNvSpPr txBox="1"/>
      </cdr:nvSpPr>
      <cdr:spPr>
        <a:xfrm xmlns:a="http://schemas.openxmlformats.org/drawingml/2006/main">
          <a:off x="4356657" y="220814"/>
          <a:ext cx="839731" cy="220804"/>
        </a:xfrm>
        <a:prstGeom xmlns:a="http://schemas.openxmlformats.org/drawingml/2006/main" prst="rect">
          <a:avLst/>
        </a:prstGeom>
      </cdr:spPr>
      <cdr:txBody>
        <a:bodyPr xmlns:a="http://schemas.openxmlformats.org/drawingml/2006/main" wrap="square"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900">
              <a:latin typeface="+mn-ea"/>
              <a:ea typeface="+mn-ea"/>
            </a:rPr>
            <a:t>变化百分点</a:t>
          </a:r>
        </a:p>
      </cdr:txBody>
    </cdr:sp>
  </cdr:relSizeAnchor>
  <cdr:relSizeAnchor xmlns:cdr="http://schemas.openxmlformats.org/drawingml/2006/chartDrawing">
    <cdr:from>
      <cdr:x>0.54329</cdr:x>
      <cdr:y>0.03597</cdr:y>
    </cdr:from>
    <cdr:to>
      <cdr:x>0.72027</cdr:x>
      <cdr:y>0.10432</cdr:y>
    </cdr:to>
    <cdr:sp macro="" textlink="">
      <cdr:nvSpPr>
        <cdr:cNvPr id="4" name="文本框 3"/>
        <cdr:cNvSpPr txBox="1"/>
      </cdr:nvSpPr>
      <cdr:spPr>
        <a:xfrm xmlns:a="http://schemas.openxmlformats.org/drawingml/2006/main">
          <a:off x="2719389" y="95251"/>
          <a:ext cx="8858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 </a:t>
          </a:r>
        </a:p>
      </cdr:txBody>
    </cdr:sp>
  </cdr:relSizeAnchor>
</c:userShapes>
</file>

<file path=word/drawings/drawing9.xml><?xml version="1.0" encoding="utf-8"?>
<c:userShapes xmlns:c="http://schemas.openxmlformats.org/drawingml/2006/chart">
  <cdr:relSizeAnchor xmlns:cdr="http://schemas.openxmlformats.org/drawingml/2006/chartDrawing">
    <cdr:from>
      <cdr:x>0.0019</cdr:x>
      <cdr:y>0.05219</cdr:y>
    </cdr:from>
    <cdr:to>
      <cdr:x>0.17221</cdr:x>
      <cdr:y>0.14571</cdr:y>
    </cdr:to>
    <cdr:sp macro="" textlink="">
      <cdr:nvSpPr>
        <cdr:cNvPr id="2" name="文本框 1"/>
        <cdr:cNvSpPr txBox="1"/>
      </cdr:nvSpPr>
      <cdr:spPr>
        <a:xfrm xmlns:a="http://schemas.openxmlformats.org/drawingml/2006/main">
          <a:off x="9525" y="131745"/>
          <a:ext cx="852468" cy="2360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latin typeface="+mn-ea"/>
              <a:ea typeface="+mn-ea"/>
            </a:rPr>
            <a:t>达标率</a:t>
          </a:r>
          <a:r>
            <a:rPr lang="zh-CN" altLang="en-US" sz="900">
              <a:latin typeface="Times New Roman" panose="02020603050405020304" pitchFamily="18" charset="0"/>
              <a:ea typeface="+mn-ea"/>
              <a:cs typeface="Times New Roman" panose="02020603050405020304" pitchFamily="18" charset="0"/>
            </a:rPr>
            <a:t>（</a:t>
          </a:r>
          <a:r>
            <a:rPr lang="en-US" altLang="zh-CN" sz="900">
              <a:latin typeface="Times New Roman" panose="02020603050405020304" pitchFamily="18" charset="0"/>
              <a:ea typeface="+mn-ea"/>
              <a:cs typeface="Times New Roman" panose="02020603050405020304" pitchFamily="18" charset="0"/>
            </a:rPr>
            <a:t>%</a:t>
          </a:r>
          <a:r>
            <a:rPr lang="zh-CN" altLang="en-US" sz="900">
              <a:latin typeface="+mn-ea"/>
              <a:ea typeface="+mn-ea"/>
            </a:rPr>
            <a:t>）</a:t>
          </a:r>
        </a:p>
      </cdr:txBody>
    </cdr:sp>
  </cdr:relSizeAnchor>
  <cdr:relSizeAnchor xmlns:cdr="http://schemas.openxmlformats.org/drawingml/2006/chartDrawing">
    <cdr:from>
      <cdr:x>0.82684</cdr:x>
      <cdr:y>0.08051</cdr:y>
    </cdr:from>
    <cdr:to>
      <cdr:x>0.98478</cdr:x>
      <cdr:y>0.17403</cdr:y>
    </cdr:to>
    <cdr:sp macro="" textlink="">
      <cdr:nvSpPr>
        <cdr:cNvPr id="3" name="文本框 1"/>
        <cdr:cNvSpPr txBox="1"/>
      </cdr:nvSpPr>
      <cdr:spPr>
        <a:xfrm xmlns:a="http://schemas.openxmlformats.org/drawingml/2006/main">
          <a:off x="4138369" y="203217"/>
          <a:ext cx="790501" cy="2360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900">
              <a:latin typeface="+mn-ea"/>
              <a:ea typeface="+mn-ea"/>
            </a:rPr>
            <a:t>变化百分点</a:t>
          </a:r>
        </a:p>
      </cdr:txBody>
    </cdr:sp>
  </cdr:relSizeAnchor>
  <cdr:relSizeAnchor xmlns:cdr="http://schemas.openxmlformats.org/drawingml/2006/chartDrawing">
    <cdr:from>
      <cdr:x>0.54329</cdr:x>
      <cdr:y>0.03597</cdr:y>
    </cdr:from>
    <cdr:to>
      <cdr:x>0.72027</cdr:x>
      <cdr:y>0.10432</cdr:y>
    </cdr:to>
    <cdr:sp macro="" textlink="">
      <cdr:nvSpPr>
        <cdr:cNvPr id="4" name="文本框 3"/>
        <cdr:cNvSpPr txBox="1"/>
      </cdr:nvSpPr>
      <cdr:spPr>
        <a:xfrm xmlns:a="http://schemas.openxmlformats.org/drawingml/2006/main">
          <a:off x="2719389" y="95251"/>
          <a:ext cx="8858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 </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F9519-35C8-45FF-A56D-75AD540B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1390</Words>
  <Characters>7923</Characters>
  <Application>Microsoft Office Word</Application>
  <DocSecurity>0</DocSecurity>
  <Lines>66</Lines>
  <Paragraphs>18</Paragraphs>
  <ScaleCrop>false</ScaleCrop>
  <Company>微软中国</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俞丽丽</cp:lastModifiedBy>
  <cp:revision>2</cp:revision>
  <cp:lastPrinted>2024-01-30T00:52:00Z</cp:lastPrinted>
  <dcterms:created xsi:type="dcterms:W3CDTF">2024-02-06T00:46:00Z</dcterms:created>
  <dcterms:modified xsi:type="dcterms:W3CDTF">2024-02-06T00:46:00Z</dcterms:modified>
</cp:coreProperties>
</file>